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both"/>
        <w:spacing w:line="360" w:lineRule="auto" w:after="240"/>
      </w:pPr>
      <w:r>
        <w:rPr>
          <w:b/>
          <w:sz w:val="28"/>
        </w:rPr>
        <w:t xml:space="preserve">3. Problem Definition, Research Gap and Research Questions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3.1 Problem Statement</w:t>
      </w:r>
    </w:p>
    <w:p>
      <w:pPr>
        <w:jc w:val="both"/>
        <w:spacing w:line="360" w:lineRule="auto" w:after="200"/>
      </w:pPr>
      <w:r>
        <w:rPr>
          <w:sz w:val="24"/>
        </w:rPr>
        <w:t xml:space="preserve">In modern industrial systems and mission-critical cyber-physical production environments, rotary engineering assets—most notably commercial aviation turbofan engines, industrial gas turbines, and high-load transmission assemblies—operate under relentless thermal gradients, mechanical fatigue, and variable aerodynamic stresses. Sustaining high operational availability while precluding in-service catastrophic failure constitutes the primary objective of Prognostics and Health Management (PHM) and Predictive Maintenance (PdM) [1], [2].</w:t>
      </w:r>
    </w:p>
    <w:p>
      <w:pPr>
        <w:jc w:val="both"/>
        <w:spacing w:line="360" w:lineRule="auto" w:after="200"/>
      </w:pPr>
      <w:r>
        <w:rPr>
          <w:sz w:val="24"/>
        </w:rPr>
        <w:t xml:space="preserve">Formally, consider a fleet of industrial assets indexed by i in {1, 2, ..., N}. Each asset undergoes continuous physical degradation across discrete operational time cycles t in {1, 2, ..., Ti}, where Ti in N denotes the true, unobserved end-of-life cycle at which the machine suffers functional failure. At any operational cycle t, the true Remaining Useful Life (RUL) of asset i is defined as the remaining operational duration prior to terminal failure: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yi(t) = Ti - t      (1)</w:t>
      </w:r>
    </w:p>
    <w:p>
      <w:pPr>
        <w:jc w:val="both"/>
        <w:spacing w:line="360" w:lineRule="auto" w:after="200"/>
      </w:pPr>
      <w:r>
        <w:rPr>
          <w:sz w:val="24"/>
        </w:rPr>
        <w:t xml:space="preserve">At each cycle t, onboard condition-monitoring sensors record a multivariate telemetry observation vector xi(t) in R^{dx} alongside external operating regime descriptors si(t) in R^{ds} (such as altitude, Mach number, and throttle settings) [1]. To ensure physical causality and prevent future-state data leakage, prognostic predictions at cycle t must depend strictly upon the causal historical trajectory up to time t, encapsulated by a fixed sliding window of length W: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Xi(t) = [zi(t - W + 1), zi(t - W + 2), ..., zi(t)] in R^{W x (dx + ds)}      (2)</w:t>
      </w:r>
    </w:p>
    <w:p>
      <w:pPr>
        <w:jc w:val="both"/>
        <w:spacing w:line="360" w:lineRule="auto" w:after="200"/>
      </w:pPr>
      <w:r>
        <w:rPr>
          <w:sz w:val="24"/>
        </w:rPr>
        <w:t xml:space="preserve">where zi(t) = [xi(t), si(t)] denotes the combined condition-setting feature vector at cycle t.</w:t>
      </w:r>
    </w:p>
    <w:p>
      <w:pPr>
        <w:jc w:val="both"/>
        <w:spacing w:line="360" w:lineRule="auto" w:after="200"/>
      </w:pPr>
      <w:r>
        <w:rPr>
          <w:sz w:val="24"/>
        </w:rPr>
        <w:t xml:space="preserve">While standard machine learning approaches train a deterministic regression function f: R^{W x (dx + ds)} -&gt; R+ to generate scalar point estimates y_hat_i(t) = f(Xi(t)), point predictions fail to capture aleatoric sensor noise and epistemic model uncertainty [3], [4]. In safety-critical industrial operations, predictive maintenance requires calibrated prediction intervals: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C_{1-alpha}(Xi(t)) = [Li(t), Ui(t)]      (3)</w:t>
      </w:r>
    </w:p>
    <w:p>
      <w:pPr>
        <w:jc w:val="both"/>
        <w:spacing w:line="360" w:lineRule="auto" w:after="200"/>
      </w:pPr>
      <w:r>
        <w:rPr>
          <w:sz w:val="24"/>
        </w:rPr>
        <w:t xml:space="preserve">targeting a pre-specified nominal marginal coverage probability 1 - alpha in (0, 1), such that: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P(yi(t) in [Li(t), Ui(t)]) &gt;= 1 - alpha      (4)</w:t>
      </w:r>
    </w:p>
    <w:p>
      <w:pPr>
        <w:jc w:val="both"/>
        <w:spacing w:line="360" w:lineRule="auto" w:after="200"/>
      </w:pPr>
      <w:r>
        <w:rPr>
          <w:sz w:val="24"/>
        </w:rPr>
        <w:t xml:space="preserve">Crucially, predictive maintenance is not an isolated statistical estimation task; rather, prognostic intervals directly drive a sequential operational stopping time tau_i in {W, W+1, ...} at which the asset is retired for overhaul: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tau_i = inf { t &gt;= W : pi(C_{1-alpha}(Xi(t))) = MAINTAIN }      (5)</w:t>
      </w:r>
    </w:p>
    <w:p>
      <w:pPr>
        <w:jc w:val="both"/>
        <w:spacing w:line="360" w:lineRule="auto" w:after="200"/>
      </w:pPr>
      <w:r>
        <w:rPr>
          <w:sz w:val="24"/>
        </w:rPr>
        <w:t xml:space="preserve">where pi represents the operational maintenance policy. The resulting lifecycle economic cost incurred by asset i is governed by severe asymmetric penalties:</w:t>
      </w:r>
    </w:p>
    <w:p>
      <w:pPr>
        <w:jc w:val="center"/>
        <w:spacing w:line="360" w:lineRule="auto" w:after="160"/>
      </w:pPr>
      <w:r>
        <w:rPr>
          <w:i/>
          <w:sz w:val="24"/>
        </w:rPr>
        <w:t xml:space="preserve">Ci(tau_i) = C_PM * 1(tau_i &lt; Ti) + C_FAIL * 1(tau_i &gt;= Ti) + C_WASTE * (Ti - tau_i) * 1(tau_i &lt; Ti)      (6)</w:t>
      </w:r>
    </w:p>
    <w:p>
      <w:pPr>
        <w:jc w:val="both"/>
        <w:spacing w:line="360" w:lineRule="auto" w:after="200"/>
      </w:pPr>
      <w:r>
        <w:rPr>
          <w:sz w:val="24"/>
        </w:rPr>
        <w:t xml:space="preserve">where C_PM represents the baseline cost of a scheduled preventive replacement, C_FAIL is the severe penalty associated with an unscheduled, catastrophic in-service breakdown (C_FAIL &gt;&gt; C_PM), and C_WASTE denotes the economic penalty per cycle of unutilized, discarded useful life [5], [6]. The central problem investigated by IntelliTwin is formulating an uncertainty-aware framework that connects condition-adaptive conformal RUL prediction intervals directly with this sequential stopping decision, systematically evaluating whether decision-aware calibration can enhance maintenance utility while preserving rigorous coverage guarantees [3], [7].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3.2 Limitations of Existing Approaches</w:t>
      </w:r>
    </w:p>
    <w:p>
      <w:pPr>
        <w:jc w:val="both"/>
        <w:spacing w:line="360" w:lineRule="auto" w:after="200"/>
      </w:pPr>
      <w:r>
        <w:rPr>
          <w:sz w:val="24"/>
        </w:rPr>
        <w:t xml:space="preserve">A systematic audit of the contemporary prognostic and predictive maintenance literature reveals four major structural limitations in existing approaches: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1. </w:t>
      </w:r>
      <w:r>
        <w:rPr>
          <w:b/>
          <w:sz w:val="24"/>
        </w:rPr>
        <w:t xml:space="preserve">Pervasive Reliance on Uncalibrated Point Predictions: </w:t>
      </w:r>
      <w:r>
        <w:rPr>
          <w:sz w:val="24"/>
        </w:rPr>
        <w:t xml:space="preserve">The overwhelming majority of deep learning and ensemble RUL models benchmark performance exclusively on symmetric loss metrics such as Mean Squared Error (MSE) or Root Mean Squared Error (RMSE) [1], [8]. Point estimators implicitly treat every prediction with uniform certainty, providing no probabilistic margin or tail risk quantification [3], [4]. In real-world asset management, overestimating RUL by 10 cycles produces catastrophic in-flight failure, whereas underestimating RUL by 10 cycles merely causes premature overhaul [1]. Point predictors are fundamentally incapable of communicating this operational asymmetry to plant decision-makers.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2. </w:t>
      </w:r>
      <w:r>
        <w:rPr>
          <w:b/>
          <w:sz w:val="24"/>
        </w:rPr>
        <w:t xml:space="preserve">Conditional Miscalibration and Subgroup Vulnerability: </w:t>
      </w:r>
      <w:r>
        <w:rPr>
          <w:sz w:val="24"/>
        </w:rPr>
        <w:t xml:space="preserve">Conventional uncertainty quantification methods—including Gaussian Process regression, Monte Carlo dropout, and standard Inductive Conformal Prediction (ICP)—predominantly assume exchangeable or independent and identically distributed (i.i.d.) observations [4], [9]. However, machine degradation telemetry violates exchangeability due to profound temporal autocorrelation and operating regime transitions (e.g., multi-altitude flight envelopes in C-MAPSS FD002) [1], [3]. While global conformal calibration guarantees marginal coverage over the entire population, recent studies indicate that it frequently conceals severe conditional miscalibration, suffering systematic undercoverage during high-stress operating regimes or critical late-life degradation stages (t -&gt; Ti) [3], [10]. An engine approaching its end-of-life may experience true coverage substantially below the nominal 1 - alpha target, creating hidden catastrophic operational hazards.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3. </w:t>
      </w:r>
      <w:r>
        <w:rPr>
          <w:b/>
          <w:sz w:val="24"/>
        </w:rPr>
        <w:t xml:space="preserve">Decoupling of Statistical Uncertainty from Downstream Decision Economics: </w:t>
      </w:r>
      <w:r>
        <w:rPr>
          <w:sz w:val="24"/>
        </w:rPr>
        <w:t xml:space="preserve">In published prognostic research, uncertainty quantification and maintenance decision optimization are almost universally formulated as disjoint, uncoupled problems [6], [7]. Statistical calibrators are typically optimized to minimize symmetric interval width (MPIW) or Winkler interval loss [11], without accounting for the fact that downstream maintenance policies trigger replacement based predominantly on the conservative lower prediction bound Li(t) [6], [7]. Consequently, an interval calibration that appears statistically optimal under symmetric loss may trigger excessive false alarms in low-risk operational states or fail to provide adequate conservatism during critical wear phases.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4. </w:t>
      </w:r>
      <w:r>
        <w:rPr>
          <w:b/>
          <w:sz w:val="24"/>
        </w:rPr>
        <w:t xml:space="preserve">Conflation of Genuine Decision Value with Trivial Over-Conservatism: </w:t>
      </w:r>
      <w:r>
        <w:rPr>
          <w:sz w:val="24"/>
        </w:rPr>
        <w:t xml:space="preserve">When maintenance policies employ lower confidence bounds to schedule overhauls, naive baselines—such as uniformly widening prediction intervals, adding ad-hoc point-prediction safety margins, or systematically shifting maintenance triggers to earlier flight cycles—can artificially eliminate in-service failures [6], [12]. However, this failure avoidance is achieved through extreme conservatism that squanders immense usable component life (C_WASTE) and inflates overall fleet lifecycle expenditure [5], [6]. Current literature lacks rigorous experimental controls to disambiguate whether observed maintenance cost reductions stem from informative, decision-aware uncertainty calibration or merely reflect trivial, over-conservative early replacement policies.</w:t>
      </w:r>
    </w:p>
    <w:p>
      <w:pPr>
        <w:jc w:val="both"/>
        <w:spacing w:line="360" w:lineRule="auto" w:after="200"/>
      </w:pPr>
      <w:r>
        <w:rPr>
          <w:sz w:val="24"/>
        </w:rPr>
        <w:t xml:space="preserve">Crucially, these limitations do not imply that all existing techniques fail simultaneously; rather, prior literature addresses these challenges in fragmented silos without a cohesive framework that unifies conditional calibration with downstream sequential maintenance utility [3], [6], [7].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3.3 Research Gap</w:t>
      </w:r>
    </w:p>
    <w:p>
      <w:pPr>
        <w:jc w:val="both"/>
        <w:spacing w:line="360" w:lineRule="auto" w:after="200"/>
      </w:pPr>
      <w:r>
        <w:rPr>
          <w:sz w:val="24"/>
        </w:rPr>
        <w:t xml:space="preserve">Synthesizing the state-of-the-art across prognostic health management, conformal prediction, and maintenance optimization reveals a distinct research gap:</w:t>
      </w:r>
    </w:p>
    <w:p>
      <w:pPr>
        <w:jc w:val="both"/>
        <w:spacing w:line="360" w:lineRule="auto" w:after="160"/>
      </w:pPr>
      <w:r>
        <w:rPr>
          <w:i/>
          <w:sz w:val="24"/>
        </w:rPr>
        <w:t xml:space="preserve">"Existing RUL research has separately studied conformal uncertainty calibration, condition/regime-aware calibration, and uncertainty-aware maintenance decision-making. What remains insufficiently established is a RUL-specific method that jointly adapts calibration to operating conditions and downstream sequential maintenance consequences while preserving reliable uncertainty coverage. Our study will therefore investigate whether decision-aware, condition-adaptive conformal calibration can improve maintenance utility without sacrificing subgroup reliability or merely becoming more conservative."</w:t>
      </w:r>
    </w:p>
    <w:p>
      <w:pPr>
        <w:jc w:val="both"/>
        <w:spacing w:line="360" w:lineRule="auto" w:after="200"/>
      </w:pPr>
      <w:r>
        <w:rPr>
          <w:sz w:val="24"/>
        </w:rPr>
        <w:t xml:space="preserve">The boundaries of this research gap are delineated relative to verified prior art: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Javanmardi and Hüllermeier (2023) [4]: </w:t>
      </w:r>
      <w:r>
        <w:rPr>
          <w:sz w:val="24"/>
        </w:rPr>
        <w:t xml:space="preserve">Evaluated split conformal prediction on C-MAPSS turbofan data, but focused strictly on marginal coverage without condition-adaptive scaling or downstream maintenance decision evaluation.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Diao et al. (2026) [3]: </w:t>
      </w:r>
      <w:r>
        <w:rPr>
          <w:sz w:val="24"/>
        </w:rPr>
        <w:t xml:space="preserve">Integrated conformalized quantile regression (CQR) with LSTM networks on C-MAPSS FD001 and FD002, conducting life-stage analysis and target adaptation, but explicitly positioned their methodology upstream of prescriptive maintenance optimization.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Zhu et al. (2025) [5] &amp; Walia and Kumar (2026) [8]: </w:t>
      </w:r>
      <w:r>
        <w:rPr>
          <w:sz w:val="24"/>
        </w:rPr>
        <w:t xml:space="preserve">Modeled maintenance-cost optimization and reinforcement learning scheduling on aero-engine telemetry, but utilized parametric distributions or quantile heuristics that lack finite-sample, distribution-free coverage guarantees.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Robinson (2026) [10]: </w:t>
      </w:r>
      <w:r>
        <w:rPr>
          <w:sz w:val="24"/>
        </w:rPr>
        <w:t xml:space="preserve">Developed asymmetric CQR prediction intervals across C-MAPSS subsets, but did not incorporate hierarchical engine-level weighting or benchmark against prespecified matched-conservatism baselines.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Cortes-Gomez et al. (2025) [7]: </w:t>
      </w:r>
      <w:r>
        <w:rPr>
          <w:sz w:val="24"/>
        </w:rPr>
        <w:t xml:space="preserve">Introduced utility-directed conformal prediction in generic machine learning benchmarks, yet its formulation has not been investigated or established for the sequential, non-exchangeable degradation dynamics inherent to predictive maintenance digital twins.</w:t>
      </w:r>
    </w:p>
    <w:p>
      <w:pPr>
        <w:jc w:val="both"/>
        <w:spacing w:line="360" w:lineRule="auto" w:after="200"/>
      </w:pPr>
      <w:r>
        <w:rPr>
          <w:sz w:val="24"/>
        </w:rPr>
        <w:t xml:space="preserve">IntelliTwin does not assert absolute novelty for conformal prediction, deep prognostic modeling, or maintenance cost simulation in isolation; rather, the project investigates their method-level integration within a rigorous, pre-registered empirical framework.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3.4 Proposed Research Questions</w:t>
      </w:r>
    </w:p>
    <w:p>
      <w:pPr>
        <w:jc w:val="both"/>
        <w:spacing w:line="360" w:lineRule="auto" w:after="200"/>
      </w:pPr>
      <w:r>
        <w:rPr>
          <w:sz w:val="24"/>
        </w:rPr>
        <w:t xml:space="preserve">To investigate the identified research gap, the IntelliTwin research design establishes four formal, pre-registered research questions (RQ1–RQ4). In strict accordance with the project's frozen research protocol (ADR-018), the exact approved wording is preserved:</w:t>
      </w:r>
    </w:p>
    <w:p>
      <w:pPr>
        <w:jc w:val="both"/>
        <w:spacing w:line="360" w:lineRule="auto" w:after="120"/>
      </w:pPr>
      <w:r>
        <w:rPr>
          <w:b/>
          <w:sz w:val="24"/>
        </w:rPr>
        <w:t xml:space="preserve">Research Question 1 (RQ1)</w:t>
      </w:r>
    </w:p>
    <w:p>
      <w:pPr>
        <w:jc w:val="both"/>
        <w:spacing w:line="360" w:lineRule="auto" w:after="120"/>
      </w:pPr>
      <w:r>
        <w:rPr>
          <w:i/>
          <w:sz w:val="24"/>
        </w:rPr>
        <w:t xml:space="preserve">Can a decision-aware, condition-adaptive conformal RUL calibration method improve sequential maintenance utility while preserving reliable prediction-interval coverage?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Investigation &amp; Experiment Mapping: </w:t>
      </w:r>
      <w:r>
        <w:rPr>
          <w:sz w:val="24"/>
        </w:rPr>
        <w:t xml:space="preserve">Evaluated via Experiment A, benchmarking the proposed decision-aware, condition-adaptive conformal calibration method against global conformal calibration and standard condition-aware calibration on C-MAPSS FD002 under the primary reference scenario (C_PM = 1.0, C_FAIL = 5.0, C_WASTE = 0.20) at 90% nominal coverage [1], [6].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Evaluation Criteria: </w:t>
      </w:r>
      <w:r>
        <w:rPr>
          <w:sz w:val="24"/>
        </w:rPr>
        <w:t xml:space="preserve">Primary outcome is total simulated maintenance cost contrast Delta_cost = Cost_B - Cost_P &gt; 0.20 Standardized Cost Units (SCU) per engine over both baselines, subject to marginal and subgroup absolute coverage error ceilings E &lt; 0.05 and non-increasing fleet failure rates.</w:t>
      </w:r>
    </w:p>
    <w:p>
      <w:pPr>
        <w:jc w:val="both"/>
        <w:spacing w:line="360" w:lineRule="auto" w:after="120"/>
      </w:pPr>
      <w:r>
        <w:rPr>
          <w:b/>
          <w:sz w:val="24"/>
        </w:rPr>
        <w:t xml:space="preserve">Research Question 2 (RQ2)</w:t>
      </w:r>
    </w:p>
    <w:p>
      <w:pPr>
        <w:jc w:val="both"/>
        <w:spacing w:line="360" w:lineRule="auto" w:after="120"/>
      </w:pPr>
      <w:r>
        <w:rPr>
          <w:i/>
          <w:sz w:val="24"/>
        </w:rPr>
        <w:t xml:space="preserve">Can the proposed method improve reliability across operating regimes and degradation conditions without excessively widening prediction intervals?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Investigation &amp; Experiment Mapping: </w:t>
      </w:r>
      <w:r>
        <w:rPr>
          <w:sz w:val="24"/>
        </w:rPr>
        <w:t xml:space="preserve">Evaluated via Experiment B, assessing conditional coverage and worst-group reliability across six discrete operating regimes and four degradation lifecycle quartiles on FD002 [1], [3].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Evaluation Criteria: </w:t>
      </w:r>
      <w:r>
        <w:rPr>
          <w:sz w:val="24"/>
        </w:rPr>
        <w:t xml:space="preserve">Primary outcome is worst-group conditional coverage error contrast Delta_error = WorstErr_B - WorstErr_P &gt; 0.01 (1 percentage point), while restricting Mean Prediction Interval Width (MPIW) and Winkler interval score deterioration to under 1.0 cycle (D_width &lt; 1.0, D_score &lt; 1.0) [11].</w:t>
      </w:r>
    </w:p>
    <w:p>
      <w:pPr>
        <w:jc w:val="both"/>
        <w:spacing w:line="360" w:lineRule="auto" w:after="120"/>
      </w:pPr>
      <w:r>
        <w:rPr>
          <w:b/>
          <w:sz w:val="24"/>
        </w:rPr>
        <w:t xml:space="preserve">Research Question 3 (RQ3)</w:t>
      </w:r>
    </w:p>
    <w:p>
      <w:pPr>
        <w:jc w:val="both"/>
        <w:spacing w:line="360" w:lineRule="auto" w:after="120"/>
      </w:pPr>
      <w:r>
        <w:rPr>
          <w:i/>
          <w:sz w:val="24"/>
        </w:rPr>
        <w:t xml:space="preserve">Are the maintenance benefits of the proposed method attributable to decision-aware uncertainty calibration rather than simply more conservative prediction intervals or earlier maintenance?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Investigation &amp; Experiment Mapping: </w:t>
      </w:r>
      <w:r>
        <w:rPr>
          <w:sz w:val="24"/>
        </w:rPr>
        <w:t xml:space="preserve">Evaluated via Experiment C, disambiguating true calibration decision value from naive conservatism by benchmarking against three prespecified matched-conservatism control families: widened prediction intervals, tuned point-prediction safety margins, and earlier-intervention heuristic policies [6].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Evaluation Criteria: </w:t>
      </w:r>
      <w:r>
        <w:rPr>
          <w:sz w:val="24"/>
        </w:rPr>
        <w:t xml:space="preserve">Primary outcome is achieving maintenance cost contrast Delta_cost &gt; 0.20 SCU per engine against every prespecified matched-conservatism control family while preserving coverage constraints (E &lt; 0.05).</w:t>
      </w:r>
    </w:p>
    <w:p>
      <w:pPr>
        <w:jc w:val="both"/>
        <w:spacing w:line="360" w:lineRule="auto" w:after="120"/>
      </w:pPr>
      <w:r>
        <w:rPr>
          <w:b/>
          <w:sz w:val="24"/>
        </w:rPr>
        <w:t xml:space="preserve">Research Question 4 (RQ4)</w:t>
      </w:r>
    </w:p>
    <w:p>
      <w:pPr>
        <w:jc w:val="both"/>
        <w:spacing w:line="360" w:lineRule="auto" w:after="120"/>
      </w:pPr>
      <w:r>
        <w:rPr>
          <w:i/>
          <w:sz w:val="24"/>
        </w:rPr>
        <w:t xml:space="preserve">Does the proposed method retain its calibration and maintenance-decision benefits across operating conditions, base RUL predictors, datasets, and repeated experimental runs?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Investigation &amp; Experiment Mapping: </w:t>
      </w:r>
      <w:r>
        <w:rPr>
          <w:sz w:val="24"/>
        </w:rPr>
        <w:t xml:space="preserve">Evaluated via Experiment D, testing generalizability across a mandatory 6-cell configuration matrix: FD001 (single regime), FD002 (multi-regime), and FD004 (multi-regime, multi-fault) across both Gradient Boosted Regressors (GBR) and Long Short-Term Memory (LSTM) neural networks across five random seeds (2026–2030), weighted equally (1/6 each) [1].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Evaluation Criteria: </w:t>
      </w:r>
      <w:r>
        <w:rPr>
          <w:sz w:val="24"/>
        </w:rPr>
        <w:t xml:space="preserve">Primary outcome is achieving weighted aggregate improvements (Delta_cost &gt; 0.20 SCU, Delta_error &gt; 0.01) without exhibiting material harm (Delta_cost &lt; -0.20 SCU, Delta_error &lt; -0.01) in any individual configuration cell.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3.5 Research Significance</w:t>
      </w:r>
    </w:p>
    <w:p>
      <w:pPr>
        <w:jc w:val="both"/>
        <w:spacing w:line="360" w:lineRule="auto" w:after="200"/>
      </w:pPr>
      <w:r>
        <w:rPr>
          <w:sz w:val="24"/>
        </w:rPr>
        <w:t xml:space="preserve">The research significance of the IntelliTwin initiative resides in establishing a mathematically principled, economically grounded methodology that bridges statistical uncertainty quantification with physical asset management: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1. </w:t>
      </w:r>
      <w:r>
        <w:rPr>
          <w:b/>
          <w:sz w:val="24"/>
        </w:rPr>
        <w:t xml:space="preserve">Methodological Grounding: </w:t>
      </w:r>
      <w:r>
        <w:rPr>
          <w:sz w:val="24"/>
        </w:rPr>
        <w:t xml:space="preserve">Conformal prediction provides finite-sample, distribution-free marginal coverage guarantees without relying on restrictive Gaussian or asymptotic assumptions [4], [9]. IntelliTwin extends this framework to address the temporal autocorrelation and operating regime shifts characteristic of turbofan engines, formulating engine-level cluster bootstrapping and family-wise error rate control (Bonferroni alpha = 0.05 / 4 = 0.0125) to preclude false discoveries [13].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2. </w:t>
      </w:r>
      <w:r>
        <w:rPr>
          <w:b/>
          <w:sz w:val="24"/>
        </w:rPr>
        <w:t xml:space="preserve">Economic Alignment via Standardized Cost Units: </w:t>
      </w:r>
      <w:r>
        <w:rPr>
          <w:sz w:val="24"/>
        </w:rPr>
        <w:t xml:space="preserve">Rather than evaluating prognostic algorithms solely on abstract statistical loss functions, IntelliTwin evaluates decision policies within a discrete-event sequential simulator governed by Standardized Cost Units (SCU) [5], [6]. This ensures that prediction intervals are judged directly by their operational efficacy in balancing planned maintenance against catastrophic breakdown.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3. </w:t>
      </w:r>
      <w:r>
        <w:rPr>
          <w:b/>
          <w:sz w:val="24"/>
        </w:rPr>
        <w:t xml:space="preserve">Open-Science Governance and Demarcation: </w:t>
      </w:r>
      <w:r>
        <w:rPr>
          <w:sz w:val="24"/>
        </w:rPr>
        <w:t xml:space="preserve">In strict compliance with academic research integrity, all research questions, hypotheses, and decision criteria are pre-registered prior to confirmatory evaluation. The project explicitly distinguishes implemented engineering pipelines from experimental questions under empirical investigation. By establishing formal criteria for both supportive and non-supportive outcomes, IntelliTwin ensures that its empirical findings deliver unbiased, reproducible scientific value to the engineering community.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3.6 Problem Scope and Boundaries</w:t>
      </w:r>
    </w:p>
    <w:p>
      <w:pPr>
        <w:jc w:val="both"/>
        <w:spacing w:line="360" w:lineRule="auto" w:after="200"/>
      </w:pPr>
      <w:r>
        <w:rPr>
          <w:sz w:val="24"/>
        </w:rPr>
        <w:t xml:space="preserve">To maintain academic rigor and engineering precision, the experimental boundaries of the IntelliTwin framework are explicitly delineated based on repository evidence: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Target Benchmark Assets: </w:t>
      </w:r>
      <w:r>
        <w:rPr>
          <w:sz w:val="24"/>
        </w:rPr>
        <w:t xml:space="preserve">The study evaluates turbofan engine degradation utilizing the NASA Commercial Modular Aero-Propulsion System Simulation (C-MAPSS) benchmark suite [1]: FD001 (1 condition, 1 fault mode; 100 train / 100 test engines, baseline control); FD002 (6 conditions, 1 fault mode; 260 train / 259 test engines, primary multi-regime benchmark); and FD004 (6 conditions, 2 fault modes; 249 train / 248 test engines, complex robustness benchmark).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Feature Representation: </w:t>
      </w:r>
      <w:r>
        <w:rPr>
          <w:sz w:val="24"/>
        </w:rPr>
        <w:t xml:space="preserve">In accordance with the project's verified schema, 6 invariant/non-informative sensor channels (indices 1, 5, 10, 16, 18, 19) are removed, leaving 14 active degradation sensor measurements alongside 3 operational setting descriptors (17 features total). Sensor values are standardized via training-only Z-score normalization (mean, std fitted solely on training splits with ddof = 0).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Causal Windowing Protocol: </w:t>
      </w:r>
      <w:r>
        <w:rPr>
          <w:sz w:val="24"/>
        </w:rPr>
        <w:t xml:space="preserve">Telemetry is processed into strictly causal backward sliding windows of length W = 30 cycles, completely barring future-cycle information.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Base Prognostic Models: </w:t>
      </w:r>
      <w:r>
        <w:rPr>
          <w:sz w:val="24"/>
        </w:rPr>
        <w:t xml:space="preserve">Evaluates two distinct supervised learning paradigms: Histogram Gradient Boosting Regressors (HistGradientBoostingRegressor) over flattened 30 x 17 = 510-dimensional vectors, and unidirectional PyTorch Long Short-Term Memory (LSTMRegressor) networks over 3D sequence tensors (B, 30, 17) [1], [8].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Decision Simulator Parameters: </w:t>
      </w:r>
      <w:r>
        <w:rPr>
          <w:sz w:val="24"/>
        </w:rPr>
        <w:t xml:space="preserve">Evaluated within a discrete-event sequential maintenance simulator under Standardized Cost Units (C_PM = 1.0, C_FAIL = 5.0, C_WASTE = 0.20 per cycle) [6].</w:t>
      </w:r>
    </w:p>
    <w:p>
      <w:pPr>
        <w:ind w:left="720" w:hanging="360"/>
        <w:jc w:val="both"/>
        <w:spacing w:line="360" w:lineRule="auto" w:after="120"/>
      </w:pPr>
      <w:r>
        <w:rPr>
          <w:b/>
          <w:sz w:val="24"/>
        </w:rPr>
        <w:t xml:space="preserve">• </w:t>
      </w:r>
      <w:r>
        <w:rPr>
          <w:b/>
          <w:sz w:val="24"/>
        </w:rPr>
        <w:t xml:space="preserve">Explicit Scope Exclusions: </w:t>
      </w:r>
      <w:r>
        <w:rPr>
          <w:sz w:val="24"/>
        </w:rPr>
        <w:t xml:space="preserve">No Live Physical Sensor Ingestion: The framework does not interface with live edge IoT hardware, physical sensor transceivers, or industrial fieldbus protocols (e.g., OPC UA, MQTT, Modbus). No Physical Closed-Loop Actuation: The framework does not transmit physical actuation signals or feedback control back into operational machinery. Digital Twin Scope: The Digital Twin is implemented as an offline, trace-driven simulation replay engine (TwinReplayEngine and FastAPI web service at port 8000) that streams historical C-MAPSS telemetry cycle-by-cycle at verified numerical parity (atol &lt;= 1e-4), providing real-time prognostic dashboard visualization without physical back-coupling [2].</w:t>
      </w:r>
    </w:p>
    <w:p>
      <w:pPr>
        <w:jc w:val="both"/>
        <w:spacing w:line="360" w:lineRule="auto" w:after="160"/>
      </w:pPr>
      <w:r>
        <w:rPr>
          <w:b/>
          <w:sz w:val="24"/>
        </w:rPr>
        <w:t xml:space="preserve">References</w:t>
      </w:r>
    </w:p>
    <w:p>
      <w:pPr>
        <w:jc w:val="left"/>
        <w:spacing w:line="360" w:lineRule="auto" w:after="120"/>
      </w:pPr>
      <w:r>
        <w:rPr>
          <w:sz w:val="21"/>
        </w:rPr>
        <w:t xml:space="preserve">[1] A. Saxena, K. Goebel, D. Simon, and N. Eklund, "Damage propagation modeling for aircraft engine run-to-failure simulation," in 2008 International Conference on Prognostics and Health Management, IEEE, 2008, pp. 1–9, doi: 10.1109/PHM.2008.4711414.</w:t>
      </w:r>
    </w:p>
    <w:p>
      <w:pPr>
        <w:jc w:val="left"/>
        <w:spacing w:line="360" w:lineRule="auto" w:after="120"/>
      </w:pPr>
      <w:r>
        <w:rPr>
          <w:sz w:val="21"/>
        </w:rPr>
        <w:t xml:space="preserve">[2] Z. Huang, Y. Shen, J. Li, M. Fey, and C. Brecher, "A survey on AI-driven digital twins in Industry 4.0: Smart manufacturing and advanced robotics," Sensors, vol. 21, no. 19, p. 6340, 2021, doi: 10.3390/s21196340.</w:t>
      </w:r>
    </w:p>
    <w:p>
      <w:pPr>
        <w:jc w:val="left"/>
        <w:spacing w:line="360" w:lineRule="auto" w:after="120"/>
      </w:pPr>
      <w:r>
        <w:rPr>
          <w:sz w:val="21"/>
        </w:rPr>
        <w:t xml:space="preserve">[3] R. Diao, M. Zhou, G. Meng, and S. Wang, "Turbofan engine remaining useful life prediction with reliable prediction intervals via LSTM-based quantile regression and conformal calibration," Sensors, vol. 26, no. 7, p. 2249, 2026, doi: 10.3390/s26072249.</w:t>
      </w:r>
    </w:p>
    <w:p>
      <w:pPr>
        <w:jc w:val="left"/>
        <w:spacing w:line="360" w:lineRule="auto" w:after="120"/>
      </w:pPr>
      <w:r>
        <w:rPr>
          <w:sz w:val="21"/>
        </w:rPr>
        <w:t xml:space="preserve">[4] A. Javanmardi and E. Hüllermeier, "Conformal prediction intervals for remaining useful lifetime estimation," International Journal of Prognostics and Health Management, vol. 14, no. 2, pp. 1–14, 2023, doi: 10.36001/ijphm.2023.v14i2.3417.</w:t>
      </w:r>
    </w:p>
    <w:p>
      <w:pPr>
        <w:jc w:val="left"/>
        <w:spacing w:line="360" w:lineRule="auto" w:after="120"/>
      </w:pPr>
      <w:r>
        <w:rPr>
          <w:sz w:val="21"/>
        </w:rPr>
        <w:t xml:space="preserve">[5] Z. Zhu, L. Wang, M. Chen, and X. Zhao, "Predictive maintenance strategies for aero-engines considering remaining useful life prediction interval," Quality and Reliability Engineering International, 2025, doi: 10.1002/qre.70043.</w:t>
      </w:r>
    </w:p>
    <w:p>
      <w:pPr>
        <w:jc w:val="left"/>
        <w:spacing w:line="360" w:lineRule="auto" w:after="120"/>
      </w:pPr>
      <w:r>
        <w:rPr>
          <w:sz w:val="21"/>
        </w:rPr>
        <w:t xml:space="preserve">[6] C. Chen, J. Shi, N. Lu, Z. H. Zhu, and B. Jiang, "Data-driven predictive maintenance strategy considering the uncertainty in remaining useful life prediction," Neurocomputing, vol. 494, pp. 79–88, 2022, doi: 10.1016/j.neucom.2022.04.055.</w:t>
      </w:r>
    </w:p>
    <w:p>
      <w:pPr>
        <w:jc w:val="left"/>
        <w:spacing w:line="360" w:lineRule="auto" w:after="120"/>
      </w:pPr>
      <w:r>
        <w:rPr>
          <w:sz w:val="21"/>
        </w:rPr>
        <w:t xml:space="preserve">[7] S. Cortes-Gomez, C. M. Patiño, Y. Byun, S. Wu, E. Horvitz, and B. Wilder, "Utility-directed conformal prediction: A decision-aware framework for actionable uncertainty quantification," in International Conference on Learning Representations (ICLR), 2025.</w:t>
      </w:r>
    </w:p>
    <w:p>
      <w:pPr>
        <w:jc w:val="left"/>
        <w:spacing w:line="360" w:lineRule="auto" w:after="120"/>
      </w:pPr>
      <w:r>
        <w:rPr>
          <w:sz w:val="21"/>
        </w:rPr>
        <w:t xml:space="preserve">[8] G. K. Walia and M. Kumar, "Uncertainty-aware remaining useful life prediction and PPO based optimal maintenance scheduling in industrial IoT," Reliability Engineering &amp; System Safety, p. 112356, 2026, doi: 10.1016/j.ress.2026.112356.</w:t>
      </w:r>
    </w:p>
    <w:p>
      <w:pPr>
        <w:jc w:val="left"/>
        <w:spacing w:line="360" w:lineRule="auto" w:after="120"/>
      </w:pPr>
      <w:r>
        <w:rPr>
          <w:sz w:val="21"/>
        </w:rPr>
        <w:t xml:space="preserve">[9] Y. Lee, R. F. Barber, and R. Willett, "Distribution-free inference with hierarchical data," arXiv preprint arXiv:2306.06342, 2023.</w:t>
      </w:r>
    </w:p>
    <w:p>
      <w:pPr>
        <w:jc w:val="left"/>
        <w:spacing w:line="360" w:lineRule="auto" w:after="120"/>
      </w:pPr>
      <w:r>
        <w:rPr>
          <w:sz w:val="21"/>
        </w:rPr>
        <w:t xml:space="preserve">[10] C. D. Robinson, "Remaining Useful Life Estimation for Aircraft Engines with Risk-Aware Prediction Intervals via Conformalized Quantile Regression," International Journal of Prognostics and Health Management, vol. 17, no. 1, p. 4724, 2026, doi: 10.36001/ijphm.2026.v17i1.4724.</w:t>
      </w:r>
    </w:p>
    <w:p>
      <w:pPr>
        <w:jc w:val="left"/>
        <w:spacing w:line="360" w:lineRule="auto" w:after="120"/>
      </w:pPr>
      <w:r>
        <w:rPr>
          <w:sz w:val="21"/>
        </w:rPr>
        <w:t xml:space="preserve">[11] T. Gneiting and A. E. Raftery, "Strictly proper scoring rules, prediction, and estimation," Journal of the American Statistical Association, vol. 102, no. 477, pp. 359–378, 2007, doi: 10.1198/016214506000001437.</w:t>
      </w:r>
    </w:p>
    <w:p>
      <w:pPr>
        <w:jc w:val="left"/>
        <w:spacing w:line="360" w:lineRule="auto" w:after="120"/>
      </w:pPr>
      <w:r>
        <w:rPr>
          <w:sz w:val="21"/>
        </w:rPr>
        <w:t xml:space="preserve">[12] A. BenAbdennour, "Leakage-Controlled Grouped Validation and Interval-Safety Calibration for RUL/SOH Prediction Using Engine, Battery, and Bearing Degradation Data," Machines, vol. 14, no. 10, p. 1124, 2026, doi: 10.3390/machines14101124.</w:t>
      </w:r>
    </w:p>
    <w:p>
      <w:pPr>
        <w:jc w:val="left"/>
        <w:spacing w:line="360" w:lineRule="auto" w:after="120"/>
      </w:pPr>
      <w:r>
        <w:rPr>
          <w:sz w:val="21"/>
        </w:rPr>
        <w:t xml:space="preserve">[13] D. Lakens, "Equivalence tests: A practical primer for t tests, correlations, and meta-analyses," Social Psychological and Personality Science, vol. 8, no. 4, pp. 355–362, 2017, doi: 10.1177/1948550617697177.</w:t>
      </w:r>
    </w:p>
    <w:p>
      <w:pPr>
        <w:jc w:val="left"/>
        <w:spacing w:line="360" w:lineRule="auto" w:after="120"/>
      </w:pPr>
      <w:r>
        <w:rPr>
          <w:sz w:val="21"/>
        </w:rPr>
        <w:t xml:space="preserve">[14] J. Wu, Y. Zhou, X. Wang, C. Chen, Y. Ma, and C. Zhang, "Research on remaining useful life prediction of equipment based on digital twins," Sensors, vol. 26, no. 4, p. 1240, 2026, doi: 10.3390/s26041240.</w:t>
      </w:r>
    </w:p>
    <w:sectPr>
      <w:pgSz w:w="11906" w:h="16838"/>
      <w:pgMar w:top="1440" w:right="1440" w:bottom="1440" w:left="216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color w:val="000000"/>
      </w:rPr>
    </w:rPrDefault>
    <w:pPrDefault>
      <w:pPr>
        <w:spacing w:line="360" w:lineRule="auto" w:after="20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