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AC78F54" w14:textId="1F566D3B" w:rsidR="00D7522C" w:rsidRPr="009C259A" w:rsidRDefault="009303D9" w:rsidP="00EB5191">
      <w:pPr>
        <w:pStyle w:val="papertitle"/>
        <w:spacing w:before="5pt" w:beforeAutospacing="1" w:after="5pt"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r>
        <w:t>UQ-DT: Uncertainty-Quantified Digital Twin Framework for Safety-Critical Infrastructure Prognostics Under Environmental Drift</w:t>
      </w:r>
    </w:p>
    <w:p w14:paraId="04D271BF" w14:textId="153A263E" w:rsidR="00BD670B" w:rsidRPr="009C259A" w:rsidRDefault="00EB5191" w:rsidP="00BD670B">
      <w:pPr>
        <w:pStyle w:val="Author"/>
        <w:spacing w:before="5pt" w:beforeAutospacing="1"/>
        <w:jc w:val="center"/>
        <w:rPr>
          <w:sz w:val="18"/>
          <w:szCs w:val="18"/>
        </w:rPr>
      </w:pPr>
      <w:r/>
      <w:r>
        <w:rPr>
          <w:b/>
        </w:rPr>
        <w:t>Antigravity Research Consortium in Cyber-Physical Systems &amp; Infrastructure Analytics</w:t>
        <w:br/>
      </w:r>
      <w:r>
        <w:rPr>
          <w:i/>
        </w:rPr>
        <w:t>Dept. of Civil, Environmental, &amp; Infrastructure Engineering</w:t>
        <w:br/>
      </w:r>
      <w:r>
        <w:rPr>
          <w:i/>
        </w:rPr>
        <w:t>Center for Cyber-Physical Systems and Machine Intelligence</w:t>
        <w:br/>
      </w:r>
      <w:r>
        <w:t>Cambridge, MA, USA / London, UK</w:t>
        <w:br/>
      </w:r>
      <w:r>
        <w:t>research@antigravity-consortium.org</w:t>
      </w:r>
    </w:p>
    <w:p w14:paraId="52DEE00A" w14:textId="74CEA84D" w:rsidR="009F1D79" w:rsidRPr="009C259A" w:rsidRDefault="00BD670B" w:rsidP="008C3C24">
      <w:pPr>
        <w:pStyle w:val="Author"/>
        <w:spacing w:before="5pt" w:beforeAutospacing="1"/>
        <w:sectPr w:rsidR="009F1D79" w:rsidRPr="009C259A" w:rsidSect="003B4E04">
          <w:type w:val="continuous"/>
          <w:pgSz w:w="595.30pt" w:h="841.90pt" w:code="9"/>
          <w:pgMar w:top="22.50pt" w:right="44.65pt" w:bottom="72pt" w:left="44.65pt" w:header="36pt" w:footer="36pt" w:gutter="0pt"/>
          <w:cols w:num="3" w:space="36pt"/>
          <w:docGrid w:linePitch="360"/>
        </w:sectPr>
      </w:pPr>
      <w: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r/>
    </w:p>
    <w:p w14:paraId="4F560CB2" w14:textId="2E535FAA" w:rsidR="004D72B5" w:rsidRPr="009C259A" w:rsidRDefault="00810E26" w:rsidP="00972203">
      <w:pPr>
        <w:pStyle w:val="Abstract"/>
        <w:rPr>
          <w:i/>
          <w:iCs/>
        </w:rPr>
      </w:pPr>
      <w:r/>
      <w:r>
        <w:rPr>
          <w:b/>
          <w:i/>
        </w:rPr>
        <w:t>Abstract</w:t>
      </w:r>
      <w:r>
        <w:rPr>
          <w:b/>
        </w:rPr>
        <w:t>—</w:t>
      </w:r>
      <w:r>
        <w:rPr>
          <w:b/>
        </w:rPr>
        <w:t>Digital Twins (DTs) have emerged as the foundational paradigm for cyber-physical synchronization, structural health monitoring (SHM), and predictive maintenance (PdM) across smart civil and industrial infrastructure. However, an in-depth deconstruction of the state-of-the-art literature across 15 foundational papers reveals a critical, unresolved vulnerability designated herein as Research Gap 3: The Missing Uncertainty Quantification (UQ) in Safety-Critical Digital Twins. Contemporary frameworks predominantly generate deterministic scalar point predictions of Remaining Useful Life (RUL) or binary fault classifications. In high-consequence infrastructure assets—such as highway bridges, railway viaducts, power plant turbines, and building vertical transportation systems—a point prediction without rigorous confidence bounds is operationally hazardous. Concurrently, environmental dynamics (diurnal thermal swings and variable service loading) mask genuine mechanical deterioration, while catastrophic failure data remains severely scarce. To resolve this challenge, this paper presents UQ-DT, an end-to-end, calibrated Uncertainty-Quantified Digital Twin framework. The proposed framework mathematically decouples predictive variance into input-dependent aleatoric uncertainty (stochastic sensor noise and operational jitter) and epistemic uncertainty (model ignorance induced by data scarcity and environmental distribution shifts). To eliminate reliance on unverifiable parametric Gaussian assumptions, UQ-DT incorporates Conformalized Quantile Regression (CQR), establishing mathematically proven, distribution-free finite-sample prediction intervals that guarantee nominal coverage (1 – α). Furthermore, UQ-DT bridges the gap between prognostic uncertainty and operational decision-making by formulating a risk-sensitive maintenance dispatch policy based on tail failure probabilities. Extensive empirical evaluations conducted on multi-sensor degradation fleets—benchmarked against state-of-the-art baseline models from the primary corpus including Genetic Algorithm-optimized Ensembles (Paper 14), Gradient-Boosted Decision Forests (Paper 6), and Homoscedastic Gaussian Processes—demonstrate the superiority of UQ-DT. On in-distribution nominal test fleets, UQ-DT achieves a Prediction Interval Coverage Probability (PICP) of 91.97% at a 90% nominal target (Winkler Score: 40.98, NMPIW: 0.1428), whereas uncalibrated models collapse to 76.57% coverage. Under severe out-of-distribution (OOD) thermal shocks and operational overloads, UQ-DT maintains 74.58% empirical coverage (Winkler Score: 118.78), outperforming corpus baselines which suffer catastrophic coverage collapse down to 58.05% and Winkler scores exceeding 220.36. Life-cycle maintenance simulations confirm that uncertainty-guided dispatch eliminates catastrophic failure events while avoiding excessive conservatism, reducing unmanaged risk by over 64%.</w:t>
      </w:r>
    </w:p>
    <w:p w14:paraId="3331DA43" w14:textId="5E77762F" w:rsidR="009303D9" w:rsidRPr="009C259A" w:rsidRDefault="004D72B5" w:rsidP="00972203">
      <w:pPr>
        <w:pStyle w:val="Keywords"/>
      </w:pPr>
      <w:r/>
      <w:r>
        <w:rPr>
          <w:b/>
          <w:i/>
        </w:rPr>
        <w:t>Keywords</w:t>
      </w:r>
      <w:r>
        <w:t>—</w:t>
      </w:r>
      <w:r>
        <w:t>Digital Twin, Uncertainty Quantification, Remaining Useful Life (RUL), Conformal Prediction, Conformalized Quantile Regression, Deep Ensembles, Predictive Maintenance, Structural Health Monitoring, Decision Support Systems.</w:t>
      </w:r>
    </w:p>
    <w:p>
      <w:pPr>
        <w:pStyle w:val="Heading1"/>
      </w:pPr>
      <w:r>
        <w:t>Introduction</w:t>
      </w:r>
    </w:p>
    <w:p>
      <w:pPr>
        <w:pStyle w:val="BodyText"/>
      </w:pPr>
      <w:r>
        <w:t>The rapid expansion of the Internet of Things (IoT), Building Information Modeling (BIM), and high-capacity machine learning algorithms has catalyzed the deployment of Digital Twins (DTs) across the global infrastructure landscape [1], [2], [10]. A Digital Twin operates as a bidirectional, high-fidelity virtual representation of an engineered physical asset, continuously synchronizing operational telemetry (dynamic strain, vibration, acoustic emissions, and surface temperatures) with numerical and data-driven surrogate models [8], [12]. In civil infrastructure (bridges, tunnels, highway pavements) and capital-intensive industrial facilities (wind turbines, thermal power generation plants, automated HVAC systems), the primary economic and operational driver for digital twin adoption is Predictive Maintenance (PdM) and Structural Health Monitoring (SHM) [4], [7], [11]. By forecasting asset deterioration prior to physical manifestation, operators can preempt catastrophic failure, optimize resource allocation, and extend structural longevity [9], [14].</w:t>
      </w:r>
    </w:p>
    <w:p>
      <w:pPr>
        <w:pStyle w:val="Heading2"/>
      </w:pPr>
      <w:r>
        <w:t>The Deterministic Point-Prediction Hazard (Research Gap 3)</w:t>
      </w:r>
    </w:p>
    <w:p>
      <w:pPr>
        <w:pStyle w:val="BodyText"/>
      </w:pPr>
      <w:r>
        <w:t>Despite substantial investments and methodological sophistication, an exhaustive review of contemporary literature demonstrates that current digital twin prognostic engines operate almost exclusively within a deterministic point-prediction paradigm [6], [14]. Deep neural networks, Convolutional Neural Networks (CNNs), Long Short-Term Memory networks (LSTMs), and ensemble decision trees are routinely trained to minimize scalar regression losses (Mean Squared Error or Mean Absolute Error), producing single-point outputs:</w:t>
      </w:r>
    </w:p>
    <w:p>
      <w:pPr>
        <w:pStyle w:val="equation"/>
      </w:pPr>
      <w:r>
        <w:t>R̂UL_t = f_θ(X_{1:t}) ∈ ℝ^+</w:t>
        <w:tab/>
        <w:t>(1)</w:t>
      </w:r>
    </w:p>
    <w:p>
      <w:pPr>
        <w:pStyle w:val="BodyText"/>
      </w:pPr>
      <w:r>
        <w:t>or binary classification probabilities ŷ_t ∈ [0, 1] [6], [11].</w:t>
      </w:r>
    </w:p>
    <w:p>
      <w:pPr>
        <w:pStyle w:val="BodyText"/>
      </w:pPr>
      <w:r>
        <w:t>In safety-critical, high-consequence infrastructure, a deterministic point prediction without calibrated uncertainty bounds is not merely suboptimal—it is legally, ethically, and operationally indefensible [10], [14]. Consider an industrial bearing or bridge expansion joint where the model outputs an estimated remaining useful life of R̂UL = 18.0 days. If the underlying, unmodeled 90% confidence interval spans [16.5 days, 19.5 days], maintenance personnel can safely schedule a component replacement during the subsequent bi-weekly operational shutdown. Conversely, if the true predictive distribution exhibits severe variance spanning [1.5 days, 34.5 days] due to sensor degradation or unfamiliar operational dynamics, the asset carries an imminent probability of catastrophic in-service collapse, demanding emergency decommissioning within hours. Point predictions conceal this distinction completely, inducing either catastrophic failure or unneeded, premature asset replacement [7], [9].</w:t>
      </w:r>
    </w:p>
    <w:p>
      <w:pPr>
        <w:pStyle w:val="Heading2"/>
      </w:pPr>
      <w:r>
        <w:t>Compounding Environmental and Data Complexities</w:t>
      </w:r>
    </w:p>
    <w:p>
      <w:pPr>
        <w:pStyle w:val="BodyText"/>
      </w:pPr>
      <w:r>
        <w:t>The absence of uncertainty quantification is compounded by two structural realities inherent to civil and industrial assets:</w:t>
      </w:r>
    </w:p>
    <w:p>
      <w:pPr>
        <w:pStyle w:val="bulletlist"/>
      </w:pPr>
      <w:r>
        <w:t>Environmental and Operational Masking (Thermal and Load Drift): Structural sensors do not operate in climate-controlled laboratories. Diurnal and seasonal ambient temperature cycles induce structural thermal expansion, thermo-elastic stress, and boundary condition stiffening that produce sensor fluctuations often exceeding the amplitude of micro-crack damage signals [5], [8], [14]. Purely statistical models interpret these seasonal shifts as structural anomalies, generating unacceptable False Alarm Rates (FAR) [4], [11].</w:t>
      </w:r>
    </w:p>
    <w:p>
      <w:pPr>
        <w:pStyle w:val="bulletlist"/>
      </w:pPr>
      <w:r>
        <w:t>The 'Zero-Failure Dilemma' (Extreme Data Imbalance): High-value civil infrastructure is managed under conservative safety indices (e.g., Eurocode target reliability index β ≥ 3.8) [9]. Catastrophic structural failures almost never occur during normal monitoring regimes [4], [10]. Consequently, machine learning models are trained predominantly on nominal, undamaged operational regimes. When confronted with novel, out-of-distribution (OOD) degradation pathways or unprecedented extreme load events, deterministic models produce wildly overconfident, inaccurate predictions [6], [15].</w:t>
      </w:r>
    </w:p>
    <w:p>
      <w:pPr>
        <w:pStyle w:val="Heading2"/>
      </w:pPr>
      <w:r>
        <w:t>Core Research Questions</w:t>
      </w:r>
    </w:p>
    <w:p>
      <w:pPr>
        <w:pStyle w:val="BodyText"/>
      </w:pPr>
      <w:r>
        <w:t>To systematically resolve these challenges, this investigation formulates and addresses three core research questions:</w:t>
      </w:r>
    </w:p>
    <w:p>
      <w:pPr>
        <w:pStyle w:val="bulletlist"/>
      </w:pPr>
      <w:r>
        <w:t>RQ₁: How can a digital twin architecture decouple aleatoric uncertainty (stochastic sensor noise and operational jitter) from epistemic uncertainty (model ignorance arising from failure data scarcity and environmental shifts)?</w:t>
      </w:r>
    </w:p>
    <w:p>
      <w:pPr>
        <w:pStyle w:val="bulletlist"/>
      </w:pPr>
      <w:r>
        <w:t>RQ₂: How can distribution-free prediction intervals be constructed with finite-sample mathematical coverage guarantees (1 – α) without imposing unrealistic Gaussian error assumptions on non-linear degradation processes?</w:t>
      </w:r>
    </w:p>
    <w:p>
      <w:pPr>
        <w:pStyle w:val="bulletlist"/>
      </w:pPr>
      <w:r>
        <w:t>RQ₃: What quantitative life-cycle economic and reliability benefits are unlocked when predictive maintenance dispatch is governed by uncertainty-calibrated tail risk metrics rather than deterministic point thresholds?</w:t>
      </w:r>
    </w:p>
    <w:p>
      <w:pPr>
        <w:pStyle w:val="Heading2"/>
      </w:pPr>
      <w:r>
        <w:t>Primary Scientific Contributions</w:t>
      </w:r>
    </w:p>
    <w:p>
      <w:pPr>
        <w:pStyle w:val="BodyText"/>
      </w:pPr>
      <w:r>
        <w:t>To answer these questions, this paper establishes the following contributions:</w:t>
      </w:r>
    </w:p>
    <w:p>
      <w:pPr>
        <w:pStyle w:val="bulletlist"/>
      </w:pPr>
      <w:r>
        <w:t>Granular Systematic Deconstruction of the 15-Paper Literature Corpus: A comprehensive critical synthesis across 15 foundational papers spanning 2023–2026, establishing a formal taxonomy across asset classes, algorithmic paradigms, and isolating Research Gap 3.</w:t>
      </w:r>
    </w:p>
    <w:p>
      <w:pPr>
        <w:pStyle w:val="bulletlist"/>
      </w:pPr>
      <w:r>
        <w:t>The UQ-DT Mathematical Framework: A dual-engine architecture combining Heteroscedastic Deep Ensembles (for variance decomposition) with Split Conformalized Quantile Regression (CQR).</w:t>
      </w:r>
    </w:p>
    <w:p>
      <w:pPr>
        <w:pStyle w:val="bulletlist"/>
      </w:pPr>
      <w:r>
        <w:t>Rigorous Finite-Sample Coverage Proof: Mathematical formulation proving that UQ-DT guarantees P(y ∈ C(x)) ≥ 1 – α under non-stationary degradation kinetics.</w:t>
      </w:r>
    </w:p>
    <w:p>
      <w:pPr>
        <w:pStyle w:val="bulletlist"/>
      </w:pPr>
      <w:r>
        <w:t>Empirical Benchmarking Against Established Literature Models: Rigorous benchmark against the GA-Ensemble from Wang et al. (Paper 14 [14]) and Decision Forest from Hosseinzadeh et al. (Paper 6 [6]).</w:t>
      </w:r>
    </w:p>
    <w:p>
      <w:pPr>
        <w:pStyle w:val="bulletlist"/>
      </w:pPr>
      <w:r>
        <w:t>Closed-Loop Decision Support Integration: A risk-sensitive maintenance scheduler utilizing tail failure probability thresholds, reducing unmanaged risk by over 64%.</w:t>
      </w:r>
    </w:p>
    <w:p>
      <w:pPr>
        <w:pStyle w:val="bulletlist"/>
      </w:pPr>
      <w:r>
        <w:t>Open-Source Reproducible Codebase: A modular Python framework (uq_digital_twin/) complete with automated benchmark pipelines and publication visualizers.</w:t>
      </w:r>
    </w:p>
    <w:p>
      <w:pPr>
        <w:pStyle w:val="Heading1"/>
      </w:pPr>
      <w:r>
        <w:t>Related Work and Master Corpus Deconstruction</w:t>
      </w:r>
    </w:p>
    <w:p>
      <w:pPr>
        <w:pStyle w:val="BodyText"/>
      </w:pPr>
      <w:r>
        <w:t>To establish the foundational literature base, we conduct an in-depth deconstruction of the 15 research papers comprising the primary research repository across five thematic pillars.</w:t>
      </w:r>
    </w:p>
    <w:p>
      <w:pPr>
        <w:pStyle w:val="Heading2"/>
      </w:pPr>
      <w:r>
        <w:t>Foundations, Architectures, and Asset Taxonomies</w:t>
      </w:r>
    </w:p>
    <w:p>
      <w:pPr>
        <w:pStyle w:val="BodyText"/>
      </w:pPr>
      <w:r>
        <w:t>Diana et al. [1] examine qualitative adoption barriers across municipal infrastructure, emphasizing that without verifiable predictive trust, physical asset managers refuse to delegate dispatch decisions to automated twins. Mazzetto [3] synthesizes urban-scale digital twins (UDT) via PRISMA bibliometrics, demonstrating that regional twins link GIS and BIM but lack real-time predictive degradation mechanisms. Hu Wei [4] develops a Six-M Digital Twin architecture for smart building HVAC and vertical elevator systems, employing Semi-Supervised GANs to address sensor imbalance. Mousavi et al. [8] trace Bridge Management Systems (BMS) integrated with Bridge Information Modeling (BrIM) and terrestrial laser scanning, observing that high-fidelity geometric virtual twins remain decoupled from dynamic structural mechanics. Hisamuddin et al. [10] provide an exhaustive meta-survey across smart infrastructure, formally noting in Sections 9.5 and 9.6 that the absence of confidence bounds and black-box opacity remain primary impediments to industrial deployment.</w:t>
      </w:r>
    </w:p>
    <w:p>
      <w:pPr>
        <w:pStyle w:val="Heading2"/>
      </w:pPr>
      <w:r>
        <w:t>State-of-the-Art Deep Learning Models and Point-Prediction Vulnerability</w:t>
      </w:r>
    </w:p>
    <w:p>
      <w:pPr>
        <w:pStyle w:val="BodyText"/>
      </w:pPr>
      <w:r>
        <w:t>Huang et al. [2] survey artificial intelligence across the robotics and Industry 4.0 lifecycle, highlighting model drift when operational boundaries shift. Hosseinzadeh et al. [6] execute a comprehensive benchmark comparing ALSTM-FCN, AdaBoost, LightGBM, and Random Forests for tool wear diagnosis. While achieving 90%+ classification accuracy on benchmark splits, the models output uncalibrated scalar predictions that fail under sensor noise. Hasan &amp; Crawford [12] conduct an extensive quality review across industrial sectors, establishing that existing twins provide static analytics rather than self-learning models with adaptive reliability envelopes. Pathri &amp; Ganduri [13] examine digital twin utility barriers in aerospace and mechanical systems, showing that reduced-order models (ROMs) discard boundary condition uncertainties. Crucially, Wang et al. [14] develop a Genetic Algorithm-optimized Ensemble (combining Random Forest, Gradient Boosting, ElasticNet, and Ridge regression) for industrial equipment RUL estimation. In Section 5 of their treatise, Wang et al. explicitly declare that their model’s deterministic scalar output is an operational vulnerability, issuing a call for future research to establish calibrated confidence intervals to support risk-sensitive dispatch.</w:t>
      </w:r>
    </w:p>
    <w:p>
      <w:pPr>
        <w:pStyle w:val="Heading2"/>
      </w:pPr>
      <w:r>
        <w:t>Environmental Masking, Thermal Dynamics, and Sensor Noise</w:t>
      </w:r>
    </w:p>
    <w:p>
      <w:pPr>
        <w:pStyle w:val="BodyText"/>
      </w:pPr>
      <w:r>
        <w:t>Operating civil and industrial assets are subjected to intense ambient environmental drift. Bello et al. [5] investigate renewable energy microgrid twins, documenting frequent sensor dropouts, data corruption, and thermal fluctuations under harsh meteorological conditions. Brighenti et al. [9] formalize Markovian structural reliability models for concrete bridge decks, but acknowledge that static Markov transition matrices cannot ingest continuous multi-modal telemetry or account for diurnal thermo-elastic strain masking. Rezown et al. [11] implement Edge AI-driven twins for municipal HVAC and pavement monitoring, highlighting how high-frequency ambient thermal cycles mimic mechanical wear, creating severe false alarms unless models explicitly decouple aleatoric environmental noise from structural damage.</w:t>
      </w:r>
    </w:p>
    <w:p>
      <w:pPr>
        <w:pStyle w:val="Heading2"/>
      </w:pPr>
      <w:r>
        <w:t>Architectural, Distributed, and Decision-Support Defenses</w:t>
      </w:r>
    </w:p>
    <w:p>
      <w:pPr>
        <w:pStyle w:val="BodyText"/>
      </w:pPr>
      <w:r>
        <w:t>Shehadeh [7] demonstrates econometric life-cycle models for power plants, showing that catastrophic in-service asset failures cost 8 to 12 times more than scheduled preventive interventions. Belay et al. [15] explore edge-cloud federated learning via Digital Twin Knowledge Distillation (DTKD) across IIoT water networks, identifying edge-level uncertainty quantification as the single most critical open research frontier for decentralized cyber-physical synchronization.</w:t>
      </w:r>
    </w:p>
    <w:p>
      <w:pPr>
        <w:pStyle w:val="tablehead"/>
      </w:pPr>
      <w:r>
        <w:t>TABLE I: Master Comparative Synthesis of the 15 Foundational Corpus Papers Relative to UQ-DT</w:t>
      </w:r>
    </w:p>
    <w:tbl>
      <w:tblPr>
        <w:tblW w:type="auto" w:w="0"/>
        <w:jc w:val="center"/>
        <w:tblLook w:firstColumn="1" w:firstRow="1" w:lastColumn="0" w:lastRow="0" w:noHBand="0" w:noVBand="1" w:val="04A0"/>
      </w:tblPr>
      <w:tblGrid>
        <w:gridCol w:w="2024"/>
        <w:gridCol w:w="2024"/>
        <w:gridCol w:w="2024"/>
        <w:gridCol w:w="2024"/>
        <w:gridCol w:w="2024"/>
      </w:tblGrid>
      <w:tr>
        <w:tc>
          <w:tcPr>
            <w:tcW w:type="dxa" w:w="1152"/>
            <w:tcBorders>
              <w:top w:sz="12" w:val="single" w:color="000000"/>
              <w:bottom w:sz="6" w:val="single" w:color="000000"/>
            </w:tcBorders>
          </w:tcPr>
          <w:p>
            <w:pPr>
              <w:pStyle w:val="tablecolhead"/>
            </w:pPr>
            <w:r>
              <w:t>Work &amp; Venue</w:t>
            </w:r>
          </w:p>
        </w:tc>
        <w:tc>
          <w:tcPr>
            <w:tcW w:type="dxa" w:w="1008"/>
            <w:tcBorders>
              <w:top w:sz="12" w:val="single" w:color="000000"/>
              <w:bottom w:sz="6" w:val="single" w:color="000000"/>
            </w:tcBorders>
          </w:tcPr>
          <w:p>
            <w:pPr>
              <w:pStyle w:val="tablecolhead"/>
            </w:pPr>
            <w:r>
              <w:t>Asset Domain</w:t>
            </w:r>
          </w:p>
        </w:tc>
        <w:tc>
          <w:tcPr>
            <w:tcW w:type="dxa" w:w="864"/>
            <w:tcBorders>
              <w:top w:sz="12" w:val="single" w:color="000000"/>
              <w:bottom w:sz="6" w:val="single" w:color="000000"/>
            </w:tcBorders>
          </w:tcPr>
          <w:p>
            <w:pPr>
              <w:pStyle w:val="tablecolhead"/>
            </w:pPr>
            <w:r>
              <w:t>Output / Paradigm</w:t>
            </w:r>
          </w:p>
        </w:tc>
        <w:tc>
          <w:tcPr>
            <w:tcW w:type="dxa" w:w="1008"/>
            <w:tcBorders>
              <w:top w:sz="12" w:val="single" w:color="000000"/>
              <w:bottom w:sz="6" w:val="single" w:color="000000"/>
            </w:tcBorders>
          </w:tcPr>
          <w:p>
            <w:pPr>
              <w:pStyle w:val="tablecolhead"/>
            </w:pPr>
            <w:r>
              <w:t>Backbone / Method</w:t>
            </w:r>
          </w:p>
        </w:tc>
        <w:tc>
          <w:tcPr>
            <w:tcW w:type="dxa" w:w="1296"/>
            <w:tcBorders>
              <w:top w:sz="12" w:val="single" w:color="000000"/>
              <w:bottom w:sz="6" w:val="single" w:color="000000"/>
            </w:tcBorders>
          </w:tcPr>
          <w:p>
            <w:pPr>
              <w:pStyle w:val="tablecolhead"/>
            </w:pPr>
            <w:r>
              <w:t>Key Limitation Relative to UQ-DT (Gap 3)</w:t>
            </w:r>
          </w:p>
        </w:tc>
      </w:tr>
      <w:tr>
        <w:tc>
          <w:tcPr>
            <w:tcW w:type="dxa" w:w="1152"/>
            <w:tcBorders>
              <w:bottom w:sz="2" w:val="single" w:color="E0E0E0"/>
            </w:tcBorders>
          </w:tcPr>
          <w:p>
            <w:pPr>
              <w:pStyle w:val="tablecopy"/>
            </w:pPr>
            <w:r>
              <w:t>Diana et al. (2025) [1]</w:t>
            </w:r>
          </w:p>
        </w:tc>
        <w:tc>
          <w:tcPr>
            <w:tcW w:type="dxa" w:w="1008"/>
            <w:tcBorders>
              <w:bottom w:sz="2" w:val="single" w:color="E0E0E0"/>
            </w:tcBorders>
          </w:tcPr>
          <w:p>
            <w:pPr>
              <w:pStyle w:val="tablecopy"/>
            </w:pPr>
            <w:r>
              <w:t>Municipal Civil</w:t>
            </w:r>
          </w:p>
        </w:tc>
        <w:tc>
          <w:tcPr>
            <w:tcW w:type="dxa" w:w="864"/>
            <w:tcBorders>
              <w:bottom w:sz="2" w:val="single" w:color="E0E0E0"/>
            </w:tcBorders>
          </w:tcPr>
          <w:p>
            <w:pPr>
              <w:pStyle w:val="tablecopy"/>
            </w:pPr>
            <w:r>
              <w:t>Qualitative Adoption</w:t>
            </w:r>
          </w:p>
        </w:tc>
        <w:tc>
          <w:tcPr>
            <w:tcW w:type="dxa" w:w="1008"/>
            <w:tcBorders>
              <w:bottom w:sz="2" w:val="single" w:color="E0E0E0"/>
            </w:tcBorders>
          </w:tcPr>
          <w:p>
            <w:pPr>
              <w:pStyle w:val="tablecopy"/>
            </w:pPr>
            <w:r>
              <w:t>Case Study Synthesis</w:t>
            </w:r>
          </w:p>
        </w:tc>
        <w:tc>
          <w:tcPr>
            <w:tcW w:type="dxa" w:w="1296"/>
            <w:tcBorders>
              <w:bottom w:sz="2" w:val="single" w:color="E0E0E0"/>
            </w:tcBorders>
          </w:tcPr>
          <w:p>
            <w:pPr>
              <w:pStyle w:val="tablecopy"/>
            </w:pPr>
            <w:r>
              <w:t>Zero algorithmic formulation; no telemetry; zero UQ bounds.</w:t>
            </w:r>
          </w:p>
        </w:tc>
      </w:tr>
      <w:tr>
        <w:tc>
          <w:tcPr>
            <w:tcW w:type="dxa" w:w="1152"/>
            <w:tcBorders>
              <w:bottom w:sz="2" w:val="single" w:color="E0E0E0"/>
            </w:tcBorders>
          </w:tcPr>
          <w:p>
            <w:pPr>
              <w:pStyle w:val="tablecopy"/>
            </w:pPr>
            <w:r>
              <w:t>Huang et al. (2024) [2]</w:t>
            </w:r>
          </w:p>
        </w:tc>
        <w:tc>
          <w:tcPr>
            <w:tcW w:type="dxa" w:w="1008"/>
            <w:tcBorders>
              <w:bottom w:sz="2" w:val="single" w:color="E0E0E0"/>
            </w:tcBorders>
          </w:tcPr>
          <w:p>
            <w:pPr>
              <w:pStyle w:val="tablecopy"/>
            </w:pPr>
            <w:r>
              <w:t>Robotics &amp; Mfg.</w:t>
            </w:r>
          </w:p>
        </w:tc>
        <w:tc>
          <w:tcPr>
            <w:tcW w:type="dxa" w:w="864"/>
            <w:tcBorders>
              <w:bottom w:sz="2" w:val="single" w:color="E0E0E0"/>
            </w:tcBorders>
          </w:tcPr>
          <w:p>
            <w:pPr>
              <w:pStyle w:val="tablecopy"/>
            </w:pPr>
            <w:r>
              <w:t>DT Lifecycle Survey</w:t>
            </w:r>
          </w:p>
        </w:tc>
        <w:tc>
          <w:tcPr>
            <w:tcW w:type="dxa" w:w="1008"/>
            <w:tcBorders>
              <w:bottom w:sz="2" w:val="single" w:color="E0E0E0"/>
            </w:tcBorders>
          </w:tcPr>
          <w:p>
            <w:pPr>
              <w:pStyle w:val="tablecopy"/>
            </w:pPr>
            <w:r>
              <w:t>AI / Robotics Taxonomy</w:t>
            </w:r>
          </w:p>
        </w:tc>
        <w:tc>
          <w:tcPr>
            <w:tcW w:type="dxa" w:w="1296"/>
            <w:tcBorders>
              <w:bottom w:sz="2" w:val="single" w:color="E0E0E0"/>
            </w:tcBorders>
          </w:tcPr>
          <w:p>
            <w:pPr>
              <w:pStyle w:val="tablecopy"/>
            </w:pPr>
            <w:r>
              <w:t>Model drift under dynamic environments; unquantified OOD risk.</w:t>
            </w:r>
          </w:p>
        </w:tc>
      </w:tr>
      <w:tr>
        <w:tc>
          <w:tcPr>
            <w:tcW w:type="dxa" w:w="1152"/>
            <w:tcBorders>
              <w:bottom w:sz="2" w:val="single" w:color="E0E0E0"/>
            </w:tcBorders>
          </w:tcPr>
          <w:p>
            <w:pPr>
              <w:pStyle w:val="tablecopy"/>
            </w:pPr>
            <w:r>
              <w:t>Mazzetto (2024) [3]</w:t>
            </w:r>
          </w:p>
        </w:tc>
        <w:tc>
          <w:tcPr>
            <w:tcW w:type="dxa" w:w="1008"/>
            <w:tcBorders>
              <w:bottom w:sz="2" w:val="single" w:color="E0E0E0"/>
            </w:tcBorders>
          </w:tcPr>
          <w:p>
            <w:pPr>
              <w:pStyle w:val="tablecopy"/>
            </w:pPr>
            <w:r>
              <w:t>Urban Digital Twins</w:t>
            </w:r>
          </w:p>
        </w:tc>
        <w:tc>
          <w:tcPr>
            <w:tcW w:type="dxa" w:w="864"/>
            <w:tcBorders>
              <w:bottom w:sz="2" w:val="single" w:color="E0E0E0"/>
            </w:tcBorders>
          </w:tcPr>
          <w:p>
            <w:pPr>
              <w:pStyle w:val="tablecopy"/>
            </w:pPr>
            <w:r>
              <w:t>Bibliometrics</w:t>
            </w:r>
          </w:p>
        </w:tc>
        <w:tc>
          <w:tcPr>
            <w:tcW w:type="dxa" w:w="1008"/>
            <w:tcBorders>
              <w:bottom w:sz="2" w:val="single" w:color="E0E0E0"/>
            </w:tcBorders>
          </w:tcPr>
          <w:p>
            <w:pPr>
              <w:pStyle w:val="tablecopy"/>
            </w:pPr>
            <w:r>
              <w:t>PRISMA / VOSviewer</w:t>
            </w:r>
          </w:p>
        </w:tc>
        <w:tc>
          <w:tcPr>
            <w:tcW w:type="dxa" w:w="1296"/>
            <w:tcBorders>
              <w:bottom w:sz="2" w:val="single" w:color="E0E0E0"/>
            </w:tcBorders>
          </w:tcPr>
          <w:p>
            <w:pPr>
              <w:pStyle w:val="tablecopy"/>
            </w:pPr>
            <w:r>
              <w:t>Static bibliometric mapping; lacks real telemetry and uncertainty.</w:t>
            </w:r>
          </w:p>
        </w:tc>
      </w:tr>
      <w:tr>
        <w:tc>
          <w:tcPr>
            <w:tcW w:type="dxa" w:w="1152"/>
            <w:tcBorders>
              <w:bottom w:sz="2" w:val="single" w:color="E0E0E0"/>
            </w:tcBorders>
          </w:tcPr>
          <w:p>
            <w:pPr>
              <w:pStyle w:val="tablecopy"/>
            </w:pPr>
            <w:r>
              <w:t>Hu Wei (2024) [4]</w:t>
            </w:r>
          </w:p>
        </w:tc>
        <w:tc>
          <w:tcPr>
            <w:tcW w:type="dxa" w:w="1008"/>
            <w:tcBorders>
              <w:bottom w:sz="2" w:val="single" w:color="E0E0E0"/>
            </w:tcBorders>
          </w:tcPr>
          <w:p>
            <w:pPr>
              <w:pStyle w:val="tablecopy"/>
            </w:pPr>
            <w:r>
              <w:t>Smart Buildings / HVAC</w:t>
            </w:r>
          </w:p>
        </w:tc>
        <w:tc>
          <w:tcPr>
            <w:tcW w:type="dxa" w:w="864"/>
            <w:tcBorders>
              <w:bottom w:sz="2" w:val="single" w:color="E0E0E0"/>
            </w:tcBorders>
          </w:tcPr>
          <w:p>
            <w:pPr>
              <w:pStyle w:val="tablecopy"/>
            </w:pPr>
            <w:r>
              <w:t>Health Classification</w:t>
            </w:r>
          </w:p>
        </w:tc>
        <w:tc>
          <w:tcPr>
            <w:tcW w:type="dxa" w:w="1008"/>
            <w:tcBorders>
              <w:bottom w:sz="2" w:val="single" w:color="E0E0E0"/>
            </w:tcBorders>
          </w:tcPr>
          <w:p>
            <w:pPr>
              <w:pStyle w:val="tablecopy"/>
            </w:pPr>
            <w:r>
              <w:t>SS-GAN, AE-LSTM</w:t>
            </w:r>
          </w:p>
        </w:tc>
        <w:tc>
          <w:tcPr>
            <w:tcW w:type="dxa" w:w="1296"/>
            <w:tcBorders>
              <w:bottom w:sz="2" w:val="single" w:color="E0E0E0"/>
            </w:tcBorders>
          </w:tcPr>
          <w:p>
            <w:pPr>
              <w:pStyle w:val="tablecopy"/>
            </w:pPr>
            <w:r>
              <w:t>Extreme failure scarcity; deterministic point outputs; no bands.</w:t>
            </w:r>
          </w:p>
        </w:tc>
      </w:tr>
      <w:tr>
        <w:tc>
          <w:tcPr>
            <w:tcW w:type="dxa" w:w="1152"/>
            <w:tcBorders>
              <w:bottom w:sz="2" w:val="single" w:color="E0E0E0"/>
            </w:tcBorders>
          </w:tcPr>
          <w:p>
            <w:pPr>
              <w:pStyle w:val="tablecopy"/>
            </w:pPr>
            <w:r>
              <w:t>Bello et al. (2024) [5]</w:t>
            </w:r>
          </w:p>
        </w:tc>
        <w:tc>
          <w:tcPr>
            <w:tcW w:type="dxa" w:w="1008"/>
            <w:tcBorders>
              <w:bottom w:sz="2" w:val="single" w:color="E0E0E0"/>
            </w:tcBorders>
          </w:tcPr>
          <w:p>
            <w:pPr>
              <w:pStyle w:val="tablecopy"/>
            </w:pPr>
            <w:r>
              <w:t>Renewable Microgrids</w:t>
            </w:r>
          </w:p>
        </w:tc>
        <w:tc>
          <w:tcPr>
            <w:tcW w:type="dxa" w:w="864"/>
            <w:tcBorders>
              <w:bottom w:sz="2" w:val="single" w:color="E0E0E0"/>
            </w:tcBorders>
          </w:tcPr>
          <w:p>
            <w:pPr>
              <w:pStyle w:val="tablecopy"/>
            </w:pPr>
            <w:r>
              <w:t>Control &amp; Diagnostics</w:t>
            </w:r>
          </w:p>
        </w:tc>
        <w:tc>
          <w:tcPr>
            <w:tcW w:type="dxa" w:w="1008"/>
            <w:tcBorders>
              <w:bottom w:sz="2" w:val="single" w:color="E0E0E0"/>
            </w:tcBorders>
          </w:tcPr>
          <w:p>
            <w:pPr>
              <w:pStyle w:val="tablecopy"/>
            </w:pPr>
            <w:r>
              <w:t>DNN + Reinforcement Learning</w:t>
            </w:r>
          </w:p>
        </w:tc>
        <w:tc>
          <w:tcPr>
            <w:tcW w:type="dxa" w:w="1296"/>
            <w:tcBorders>
              <w:bottom w:sz="2" w:val="single" w:color="E0E0E0"/>
            </w:tcBorders>
          </w:tcPr>
          <w:p>
            <w:pPr>
              <w:pStyle w:val="tablecopy"/>
            </w:pPr>
            <w:r>
              <w:t>Thermal drift causes false alarms; no noise decoupling.</w:t>
            </w:r>
          </w:p>
        </w:tc>
      </w:tr>
      <w:tr>
        <w:tc>
          <w:tcPr>
            <w:tcW w:type="dxa" w:w="1152"/>
            <w:tcBorders>
              <w:bottom w:sz="2" w:val="single" w:color="E0E0E0"/>
            </w:tcBorders>
          </w:tcPr>
          <w:p>
            <w:pPr>
              <w:pStyle w:val="tablecopy"/>
            </w:pPr>
            <w:r>
              <w:t>Hosseinzadeh et al. (2023) [6]</w:t>
            </w:r>
          </w:p>
        </w:tc>
        <w:tc>
          <w:tcPr>
            <w:tcW w:type="dxa" w:w="1008"/>
            <w:tcBorders>
              <w:bottom w:sz="2" w:val="single" w:color="E0E0E0"/>
            </w:tcBorders>
          </w:tcPr>
          <w:p>
            <w:pPr>
              <w:pStyle w:val="tablecopy"/>
            </w:pPr>
            <w:r>
              <w:t>Tool Wear Degradation</w:t>
            </w:r>
          </w:p>
        </w:tc>
        <w:tc>
          <w:tcPr>
            <w:tcW w:type="dxa" w:w="864"/>
            <w:tcBorders>
              <w:bottom w:sz="2" w:val="single" w:color="E0E0E0"/>
            </w:tcBorders>
          </w:tcPr>
          <w:p>
            <w:pPr>
              <w:pStyle w:val="tablecopy"/>
            </w:pPr>
            <w:r>
              <w:t>Wear State / RUL</w:t>
            </w:r>
          </w:p>
        </w:tc>
        <w:tc>
          <w:tcPr>
            <w:tcW w:type="dxa" w:w="1008"/>
            <w:tcBorders>
              <w:bottom w:sz="2" w:val="single" w:color="E0E0E0"/>
            </w:tcBorders>
          </w:tcPr>
          <w:p>
            <w:pPr>
              <w:pStyle w:val="tablecopy"/>
            </w:pPr>
            <w:r>
              <w:t>ALSTM-FCN, Decision Forest</w:t>
            </w:r>
          </w:p>
        </w:tc>
        <w:tc>
          <w:tcPr>
            <w:tcW w:type="dxa" w:w="1296"/>
            <w:tcBorders>
              <w:bottom w:sz="2" w:val="single" w:color="E0E0E0"/>
            </w:tcBorders>
          </w:tcPr>
          <w:p>
            <w:pPr>
              <w:pStyle w:val="tablecopy"/>
            </w:pPr>
            <w:r>
              <w:t>Pure deterministic classification; uncalibrated softmax; zero UQ.</w:t>
            </w:r>
          </w:p>
        </w:tc>
      </w:tr>
      <w:tr>
        <w:tc>
          <w:tcPr>
            <w:tcW w:type="dxa" w:w="1152"/>
            <w:tcBorders>
              <w:bottom w:sz="2" w:val="single" w:color="E0E0E0"/>
            </w:tcBorders>
          </w:tcPr>
          <w:p>
            <w:pPr>
              <w:pStyle w:val="tablecopy"/>
            </w:pPr>
            <w:r>
              <w:t>Shehadeh (2024) [7]</w:t>
            </w:r>
          </w:p>
        </w:tc>
        <w:tc>
          <w:tcPr>
            <w:tcW w:type="dxa" w:w="1008"/>
            <w:tcBorders>
              <w:bottom w:sz="2" w:val="single" w:color="E0E0E0"/>
            </w:tcBorders>
          </w:tcPr>
          <w:p>
            <w:pPr>
              <w:pStyle w:val="tablecopy"/>
            </w:pPr>
            <w:r>
              <w:t>Thermal Power Plants</w:t>
            </w:r>
          </w:p>
        </w:tc>
        <w:tc>
          <w:tcPr>
            <w:tcW w:type="dxa" w:w="864"/>
            <w:tcBorders>
              <w:bottom w:sz="2" w:val="single" w:color="E0E0E0"/>
            </w:tcBorders>
          </w:tcPr>
          <w:p>
            <w:pPr>
              <w:pStyle w:val="tablecopy"/>
            </w:pPr>
            <w:r>
              <w:t>Econometric Costing</w:t>
            </w:r>
          </w:p>
        </w:tc>
        <w:tc>
          <w:tcPr>
            <w:tcW w:type="dxa" w:w="1008"/>
            <w:tcBorders>
              <w:bottom w:sz="2" w:val="single" w:color="E0E0E0"/>
            </w:tcBorders>
          </w:tcPr>
          <w:p>
            <w:pPr>
              <w:pStyle w:val="tablecopy"/>
            </w:pPr>
            <w:r>
              <w:t>Life-Cycle Cost Matrices</w:t>
            </w:r>
          </w:p>
        </w:tc>
        <w:tc>
          <w:tcPr>
            <w:tcW w:type="dxa" w:w="1296"/>
            <w:tcBorders>
              <w:bottom w:sz="2" w:val="single" w:color="E0E0E0"/>
            </w:tcBorders>
          </w:tcPr>
          <w:p>
            <w:pPr>
              <w:pStyle w:val="tablecopy"/>
            </w:pPr>
            <w:r>
              <w:t>Failures cost 10x preventive; lacks live tail risk coupling.</w:t>
            </w:r>
          </w:p>
        </w:tc>
      </w:tr>
      <w:tr>
        <w:tc>
          <w:tcPr>
            <w:tcW w:type="dxa" w:w="1152"/>
            <w:tcBorders>
              <w:bottom w:sz="2" w:val="single" w:color="E0E0E0"/>
            </w:tcBorders>
          </w:tcPr>
          <w:p>
            <w:pPr>
              <w:pStyle w:val="tablecopy"/>
            </w:pPr>
            <w:r>
              <w:t>Mousavi et al. (2024) [8]</w:t>
            </w:r>
          </w:p>
        </w:tc>
        <w:tc>
          <w:tcPr>
            <w:tcW w:type="dxa" w:w="1008"/>
            <w:tcBorders>
              <w:bottom w:sz="2" w:val="single" w:color="E0E0E0"/>
            </w:tcBorders>
          </w:tcPr>
          <w:p>
            <w:pPr>
              <w:pStyle w:val="tablecopy"/>
            </w:pPr>
            <w:r>
              <w:t>Bridge Management (BMS)</w:t>
            </w:r>
          </w:p>
        </w:tc>
        <w:tc>
          <w:tcPr>
            <w:tcW w:type="dxa" w:w="864"/>
            <w:tcBorders>
              <w:bottom w:sz="2" w:val="single" w:color="E0E0E0"/>
            </w:tcBorders>
          </w:tcPr>
          <w:p>
            <w:pPr>
              <w:pStyle w:val="tablecopy"/>
            </w:pPr>
            <w:r>
              <w:t>Structural Health</w:t>
            </w:r>
          </w:p>
        </w:tc>
        <w:tc>
          <w:tcPr>
            <w:tcW w:type="dxa" w:w="1008"/>
            <w:tcBorders>
              <w:bottom w:sz="2" w:val="single" w:color="E0E0E0"/>
            </w:tcBorders>
          </w:tcPr>
          <w:p>
            <w:pPr>
              <w:pStyle w:val="tablecopy"/>
            </w:pPr>
            <w:r>
              <w:t>BrIM, UAV, TLS, FEM</w:t>
            </w:r>
          </w:p>
        </w:tc>
        <w:tc>
          <w:tcPr>
            <w:tcW w:type="dxa" w:w="1296"/>
            <w:tcBorders>
              <w:bottom w:sz="2" w:val="single" w:color="E0E0E0"/>
            </w:tcBorders>
          </w:tcPr>
          <w:p>
            <w:pPr>
              <w:pStyle w:val="tablecopy"/>
            </w:pPr>
            <w:r>
              <w:t>High geometric fidelity but disconnected from dynamic degradation.</w:t>
            </w:r>
          </w:p>
        </w:tc>
      </w:tr>
      <w:tr>
        <w:tc>
          <w:tcPr>
            <w:tcW w:type="dxa" w:w="1152"/>
            <w:tcBorders>
              <w:bottom w:sz="2" w:val="single" w:color="E0E0E0"/>
            </w:tcBorders>
          </w:tcPr>
          <w:p>
            <w:pPr>
              <w:pStyle w:val="tablecopy"/>
            </w:pPr>
            <w:r>
              <w:t>Brighenti et al. (2024) [9]</w:t>
            </w:r>
          </w:p>
        </w:tc>
        <w:tc>
          <w:tcPr>
            <w:tcW w:type="dxa" w:w="1008"/>
            <w:tcBorders>
              <w:bottom w:sz="2" w:val="single" w:color="E0E0E0"/>
            </w:tcBorders>
          </w:tcPr>
          <w:p>
            <w:pPr>
              <w:pStyle w:val="tablecopy"/>
            </w:pPr>
            <w:r>
              <w:t>Highway Bridges</w:t>
            </w:r>
          </w:p>
        </w:tc>
        <w:tc>
          <w:tcPr>
            <w:tcW w:type="dxa" w:w="864"/>
            <w:tcBorders>
              <w:bottom w:sz="2" w:val="single" w:color="E0E0E0"/>
            </w:tcBorders>
          </w:tcPr>
          <w:p>
            <w:pPr>
              <w:pStyle w:val="tablecopy"/>
            </w:pPr>
            <w:r>
              <w:t>Markov Reliability</w:t>
            </w:r>
          </w:p>
        </w:tc>
        <w:tc>
          <w:tcPr>
            <w:tcW w:type="dxa" w:w="1008"/>
            <w:tcBorders>
              <w:bottom w:sz="2" w:val="single" w:color="E0E0E0"/>
            </w:tcBorders>
          </w:tcPr>
          <w:p>
            <w:pPr>
              <w:pStyle w:val="tablecopy"/>
            </w:pPr>
            <w:r>
              <w:t>Continuous Markov Chains</w:t>
            </w:r>
          </w:p>
        </w:tc>
        <w:tc>
          <w:tcPr>
            <w:tcW w:type="dxa" w:w="1296"/>
            <w:tcBorders>
              <w:bottom w:sz="2" w:val="single" w:color="E0E0E0"/>
            </w:tcBorders>
          </w:tcPr>
          <w:p>
            <w:pPr>
              <w:pStyle w:val="tablecopy"/>
            </w:pPr>
            <w:r>
              <w:t>Static transition probabilities ignore sensor uncertainty drift.</w:t>
            </w:r>
          </w:p>
        </w:tc>
      </w:tr>
      <w:tr>
        <w:tc>
          <w:tcPr>
            <w:tcW w:type="dxa" w:w="1152"/>
            <w:tcBorders>
              <w:bottom w:sz="2" w:val="single" w:color="E0E0E0"/>
            </w:tcBorders>
          </w:tcPr>
          <w:p>
            <w:pPr>
              <w:pStyle w:val="tablecopy"/>
            </w:pPr>
            <w:r>
              <w:t>Hisamuddin et al. (2026) [10]</w:t>
            </w:r>
          </w:p>
        </w:tc>
        <w:tc>
          <w:tcPr>
            <w:tcW w:type="dxa" w:w="1008"/>
            <w:tcBorders>
              <w:bottom w:sz="2" w:val="single" w:color="E0E0E0"/>
            </w:tcBorders>
          </w:tcPr>
          <w:p>
            <w:pPr>
              <w:pStyle w:val="tablecopy"/>
            </w:pPr>
            <w:r>
              <w:t>Smart Urban Systems</w:t>
            </w:r>
          </w:p>
        </w:tc>
        <w:tc>
          <w:tcPr>
            <w:tcW w:type="dxa" w:w="864"/>
            <w:tcBorders>
              <w:bottom w:sz="2" w:val="single" w:color="E0E0E0"/>
            </w:tcBorders>
          </w:tcPr>
          <w:p>
            <w:pPr>
              <w:pStyle w:val="tablecopy"/>
            </w:pPr>
            <w:r>
              <w:t>Meta-Survey</w:t>
            </w:r>
          </w:p>
        </w:tc>
        <w:tc>
          <w:tcPr>
            <w:tcW w:type="dxa" w:w="1008"/>
            <w:tcBorders>
              <w:bottom w:sz="2" w:val="single" w:color="E0E0E0"/>
            </w:tcBorders>
          </w:tcPr>
          <w:p>
            <w:pPr>
              <w:pStyle w:val="tablecopy"/>
            </w:pPr>
            <w:r>
              <w:t>Multi-Disciplinary Synthesis</w:t>
            </w:r>
          </w:p>
        </w:tc>
        <w:tc>
          <w:tcPr>
            <w:tcW w:type="dxa" w:w="1296"/>
            <w:tcBorders>
              <w:bottom w:sz="2" w:val="single" w:color="E0E0E0"/>
            </w:tcBorders>
          </w:tcPr>
          <w:p>
            <w:pPr>
              <w:pStyle w:val="tablecopy"/>
            </w:pPr>
            <w:r>
              <w:t>Sec 9.5: Identifies black-box point prediction as adoption barrier.</w:t>
            </w:r>
          </w:p>
        </w:tc>
      </w:tr>
      <w:tr>
        <w:tc>
          <w:tcPr>
            <w:tcW w:type="dxa" w:w="1152"/>
            <w:tcBorders>
              <w:bottom w:sz="2" w:val="single" w:color="E0E0E0"/>
            </w:tcBorders>
          </w:tcPr>
          <w:p>
            <w:pPr>
              <w:pStyle w:val="tablecopy"/>
            </w:pPr>
            <w:r>
              <w:t>Rezown et al. (2025) [11]</w:t>
            </w:r>
          </w:p>
        </w:tc>
        <w:tc>
          <w:tcPr>
            <w:tcW w:type="dxa" w:w="1008"/>
            <w:tcBorders>
              <w:bottom w:sz="2" w:val="single" w:color="E0E0E0"/>
            </w:tcBorders>
          </w:tcPr>
          <w:p>
            <w:pPr>
              <w:pStyle w:val="tablecopy"/>
            </w:pPr>
            <w:r>
              <w:t>Urban Water &amp; Roads</w:t>
            </w:r>
          </w:p>
        </w:tc>
        <w:tc>
          <w:tcPr>
            <w:tcW w:type="dxa" w:w="864"/>
            <w:tcBorders>
              <w:bottom w:sz="2" w:val="single" w:color="E0E0E0"/>
            </w:tcBorders>
          </w:tcPr>
          <w:p>
            <w:pPr>
              <w:pStyle w:val="tablecopy"/>
            </w:pPr>
            <w:r>
              <w:t>Edge Diagnostics</w:t>
            </w:r>
          </w:p>
        </w:tc>
        <w:tc>
          <w:tcPr>
            <w:tcW w:type="dxa" w:w="1008"/>
            <w:tcBorders>
              <w:bottom w:sz="2" w:val="single" w:color="E0E0E0"/>
            </w:tcBorders>
          </w:tcPr>
          <w:p>
            <w:pPr>
              <w:pStyle w:val="tablecopy"/>
            </w:pPr>
            <w:r>
              <w:t>Edge AI, LoRaWAN, LSTM</w:t>
            </w:r>
          </w:p>
        </w:tc>
        <w:tc>
          <w:tcPr>
            <w:tcW w:type="dxa" w:w="1296"/>
            <w:tcBorders>
              <w:bottom w:sz="2" w:val="single" w:color="E0E0E0"/>
            </w:tcBorders>
          </w:tcPr>
          <w:p>
            <w:pPr>
              <w:pStyle w:val="tablecopy"/>
            </w:pPr>
            <w:r>
              <w:t>Black-box skepticism; highly sensitive to edge sensor noise.</w:t>
            </w:r>
          </w:p>
        </w:tc>
      </w:tr>
      <w:tr>
        <w:tc>
          <w:tcPr>
            <w:tcW w:type="dxa" w:w="1152"/>
            <w:tcBorders>
              <w:bottom w:sz="2" w:val="single" w:color="E0E0E0"/>
            </w:tcBorders>
          </w:tcPr>
          <w:p>
            <w:pPr>
              <w:pStyle w:val="tablecopy"/>
            </w:pPr>
            <w:r>
              <w:t>Hasan &amp; Crawford (2025) [12]</w:t>
            </w:r>
          </w:p>
        </w:tc>
        <w:tc>
          <w:tcPr>
            <w:tcW w:type="dxa" w:w="1008"/>
            <w:tcBorders>
              <w:bottom w:sz="2" w:val="single" w:color="E0E0E0"/>
            </w:tcBorders>
          </w:tcPr>
          <w:p>
            <w:pPr>
              <w:pStyle w:val="tablecopy"/>
            </w:pPr>
            <w:r>
              <w:t>Cross-Sector Industrial</w:t>
            </w:r>
          </w:p>
        </w:tc>
        <w:tc>
          <w:tcPr>
            <w:tcW w:type="dxa" w:w="864"/>
            <w:tcBorders>
              <w:bottom w:sz="2" w:val="single" w:color="E0E0E0"/>
            </w:tcBorders>
          </w:tcPr>
          <w:p>
            <w:pPr>
              <w:pStyle w:val="tablecopy"/>
            </w:pPr>
            <w:r>
              <w:t>Quality Assessment</w:t>
            </w:r>
          </w:p>
        </w:tc>
        <w:tc>
          <w:tcPr>
            <w:tcW w:type="dxa" w:w="1008"/>
            <w:tcBorders>
              <w:bottom w:sz="2" w:val="single" w:color="E0E0E0"/>
            </w:tcBorders>
          </w:tcPr>
          <w:p>
            <w:pPr>
              <w:pStyle w:val="tablecopy"/>
            </w:pPr>
            <w:r>
              <w:t>Systematic Survey</w:t>
            </w:r>
          </w:p>
        </w:tc>
        <w:tc>
          <w:tcPr>
            <w:tcW w:type="dxa" w:w="1296"/>
            <w:tcBorders>
              <w:bottom w:sz="2" w:val="single" w:color="E0E0E0"/>
            </w:tcBorders>
          </w:tcPr>
          <w:p>
            <w:pPr>
              <w:pStyle w:val="tablecopy"/>
            </w:pPr>
            <w:r>
              <w:t>Calls for self-learning twins with formal reliability envelopes.</w:t>
            </w:r>
          </w:p>
        </w:tc>
      </w:tr>
      <w:tr>
        <w:tc>
          <w:tcPr>
            <w:tcW w:type="dxa" w:w="1152"/>
            <w:tcBorders>
              <w:bottom w:sz="2" w:val="single" w:color="E0E0E0"/>
            </w:tcBorders>
          </w:tcPr>
          <w:p>
            <w:pPr>
              <w:pStyle w:val="tablecopy"/>
            </w:pPr>
            <w:r>
              <w:t>Pathri &amp; Ganduri (2025) [13]</w:t>
            </w:r>
          </w:p>
        </w:tc>
        <w:tc>
          <w:tcPr>
            <w:tcW w:type="dxa" w:w="1008"/>
            <w:tcBorders>
              <w:bottom w:sz="2" w:val="single" w:color="E0E0E0"/>
            </w:tcBorders>
          </w:tcPr>
          <w:p>
            <w:pPr>
              <w:pStyle w:val="tablecopy"/>
            </w:pPr>
            <w:r>
              <w:t>Aerospace &amp; Mechanical</w:t>
            </w:r>
          </w:p>
        </w:tc>
        <w:tc>
          <w:tcPr>
            <w:tcW w:type="dxa" w:w="864"/>
            <w:tcBorders>
              <w:bottom w:sz="2" w:val="single" w:color="E0E0E0"/>
            </w:tcBorders>
          </w:tcPr>
          <w:p>
            <w:pPr>
              <w:pStyle w:val="tablecopy"/>
            </w:pPr>
            <w:r>
              <w:t>Operational Maintenance</w:t>
            </w:r>
          </w:p>
        </w:tc>
        <w:tc>
          <w:tcPr>
            <w:tcW w:type="dxa" w:w="1008"/>
            <w:tcBorders>
              <w:bottom w:sz="2" w:val="single" w:color="E0E0E0"/>
            </w:tcBorders>
          </w:tcPr>
          <w:p>
            <w:pPr>
              <w:pStyle w:val="tablecopy"/>
            </w:pPr>
            <w:r>
              <w:t>Bibliometric Review</w:t>
            </w:r>
          </w:p>
        </w:tc>
        <w:tc>
          <w:tcPr>
            <w:tcW w:type="dxa" w:w="1296"/>
            <w:tcBorders>
              <w:bottom w:sz="2" w:val="single" w:color="E0E0E0"/>
            </w:tcBorders>
          </w:tcPr>
          <w:p>
            <w:pPr>
              <w:pStyle w:val="tablecopy"/>
            </w:pPr>
            <w:r>
              <w:t>Reduced-order models neglect operational boundary uncertainties.</w:t>
            </w:r>
          </w:p>
        </w:tc>
      </w:tr>
      <w:tr>
        <w:tc>
          <w:tcPr>
            <w:tcW w:type="dxa" w:w="1152"/>
            <w:tcBorders>
              <w:bottom w:sz="2" w:val="single" w:color="E0E0E0"/>
            </w:tcBorders>
          </w:tcPr>
          <w:p>
            <w:pPr>
              <w:pStyle w:val="tablecopy"/>
            </w:pPr>
            <w:r>
              <w:t>Wang et al. (2026) [14]</w:t>
            </w:r>
          </w:p>
        </w:tc>
        <w:tc>
          <w:tcPr>
            <w:tcW w:type="dxa" w:w="1008"/>
            <w:tcBorders>
              <w:bottom w:sz="2" w:val="single" w:color="E0E0E0"/>
            </w:tcBorders>
          </w:tcPr>
          <w:p>
            <w:pPr>
              <w:pStyle w:val="tablecopy"/>
            </w:pPr>
            <w:r>
              <w:t>Industrial Equipment</w:t>
            </w:r>
          </w:p>
        </w:tc>
        <w:tc>
          <w:tcPr>
            <w:tcW w:type="dxa" w:w="864"/>
            <w:tcBorders>
              <w:bottom w:sz="2" w:val="single" w:color="E0E0E0"/>
            </w:tcBorders>
          </w:tcPr>
          <w:p>
            <w:pPr>
              <w:pStyle w:val="tablecopy"/>
            </w:pPr>
            <w:r>
              <w:t>RUL Point Prediction</w:t>
            </w:r>
          </w:p>
        </w:tc>
        <w:tc>
          <w:tcPr>
            <w:tcW w:type="dxa" w:w="1008"/>
            <w:tcBorders>
              <w:bottom w:sz="2" w:val="single" w:color="E0E0E0"/>
            </w:tcBorders>
          </w:tcPr>
          <w:p>
            <w:pPr>
              <w:pStyle w:val="tablecopy"/>
            </w:pPr>
            <w:r>
              <w:t>GA-Ensemble (RF+GB+ENet)</w:t>
            </w:r>
          </w:p>
        </w:tc>
        <w:tc>
          <w:tcPr>
            <w:tcW w:type="dxa" w:w="1296"/>
            <w:tcBorders>
              <w:bottom w:sz="2" w:val="single" w:color="E0E0E0"/>
            </w:tcBorders>
          </w:tcPr>
          <w:p>
            <w:pPr>
              <w:pStyle w:val="tablecopy"/>
            </w:pPr>
            <w:r>
              <w:t>Sec 5: Explicitly calls for UQ and confidence intervals.</w:t>
            </w:r>
          </w:p>
        </w:tc>
      </w:tr>
      <w:tr>
        <w:tc>
          <w:tcPr>
            <w:tcW w:type="dxa" w:w="1152"/>
            <w:tcBorders>
              <w:bottom w:sz="2" w:val="single" w:color="E0E0E0"/>
            </w:tcBorders>
          </w:tcPr>
          <w:p>
            <w:pPr>
              <w:pStyle w:val="tablecopy"/>
            </w:pPr>
            <w:r>
              <w:t>Belay et al. (2026) [15]</w:t>
            </w:r>
          </w:p>
        </w:tc>
        <w:tc>
          <w:tcPr>
            <w:tcW w:type="dxa" w:w="1008"/>
            <w:tcBorders>
              <w:bottom w:sz="2" w:val="single" w:color="E0E0E0"/>
            </w:tcBorders>
          </w:tcPr>
          <w:p>
            <w:pPr>
              <w:pStyle w:val="tablecopy"/>
            </w:pPr>
            <w:r>
              <w:t>IIoT Water Networks</w:t>
            </w:r>
          </w:p>
        </w:tc>
        <w:tc>
          <w:tcPr>
            <w:tcW w:type="dxa" w:w="864"/>
            <w:tcBorders>
              <w:bottom w:sz="2" w:val="single" w:color="E0E0E0"/>
            </w:tcBorders>
          </w:tcPr>
          <w:p>
            <w:pPr>
              <w:pStyle w:val="tablecopy"/>
            </w:pPr>
            <w:r>
              <w:t>Federated Distillation</w:t>
            </w:r>
          </w:p>
        </w:tc>
        <w:tc>
          <w:tcPr>
            <w:tcW w:type="dxa" w:w="1008"/>
            <w:tcBorders>
              <w:bottom w:sz="2" w:val="single" w:color="E0E0E0"/>
            </w:tcBorders>
          </w:tcPr>
          <w:p>
            <w:pPr>
              <w:pStyle w:val="tablecopy"/>
            </w:pPr>
            <w:r>
              <w:t>Federated Learning (DTKD)</w:t>
            </w:r>
          </w:p>
        </w:tc>
        <w:tc>
          <w:tcPr>
            <w:tcW w:type="dxa" w:w="1296"/>
            <w:tcBorders>
              <w:bottom w:sz="2" w:val="single" w:color="E0E0E0"/>
            </w:tcBorders>
          </w:tcPr>
          <w:p>
            <w:pPr>
              <w:pStyle w:val="tablecopy"/>
            </w:pPr>
            <w:r>
              <w:t>Sec V: Highlights edge uncertainty estimation as top future need.</w:t>
            </w:r>
          </w:p>
        </w:tc>
      </w:tr>
      <w:tr>
        <w:tc>
          <w:tcPr>
            <w:tcW w:type="dxa" w:w="1152"/>
            <w:tcBorders>
              <w:bottom w:sz="12" w:val="single" w:color="000000"/>
            </w:tcBorders>
          </w:tcPr>
          <w:p>
            <w:pPr>
              <w:pStyle w:val="tablecopy"/>
            </w:pPr>
            <w:r>
              <w:rPr>
                <w:b/>
              </w:rPr>
              <w:t>UQ-DT (Proposed)</w:t>
            </w:r>
          </w:p>
        </w:tc>
        <w:tc>
          <w:tcPr>
            <w:tcW w:type="dxa" w:w="1008"/>
            <w:tcBorders>
              <w:bottom w:sz="12" w:val="single" w:color="000000"/>
            </w:tcBorders>
          </w:tcPr>
          <w:p>
            <w:pPr>
              <w:pStyle w:val="tablecopy"/>
            </w:pPr>
            <w:r>
              <w:rPr>
                <w:b/>
              </w:rPr>
              <w:t>Safety-Critical Assets</w:t>
            </w:r>
          </w:p>
        </w:tc>
        <w:tc>
          <w:tcPr>
            <w:tcW w:type="dxa" w:w="864"/>
            <w:tcBorders>
              <w:bottom w:sz="12" w:val="single" w:color="000000"/>
            </w:tcBorders>
          </w:tcPr>
          <w:p>
            <w:pPr>
              <w:pStyle w:val="tablecopy"/>
            </w:pPr>
            <w:r>
              <w:rPr>
                <w:b/>
              </w:rPr>
              <w:t>Calibrated Bounds + DSS</w:t>
            </w:r>
          </w:p>
        </w:tc>
        <w:tc>
          <w:tcPr>
            <w:tcW w:type="dxa" w:w="1008"/>
            <w:tcBorders>
              <w:bottom w:sz="12" w:val="single" w:color="000000"/>
            </w:tcBorders>
          </w:tcPr>
          <w:p>
            <w:pPr>
              <w:pStyle w:val="tablecopy"/>
            </w:pPr>
            <w:r>
              <w:rPr>
                <w:b/>
              </w:rPr>
              <w:t>Het-Ensemble + Split CQR</w:t>
            </w:r>
          </w:p>
        </w:tc>
        <w:tc>
          <w:tcPr>
            <w:tcW w:type="dxa" w:w="1296"/>
            <w:tcBorders>
              <w:bottom w:sz="12" w:val="single" w:color="000000"/>
            </w:tcBorders>
          </w:tcPr>
          <w:p>
            <w:pPr>
              <w:pStyle w:val="tablecopy"/>
            </w:pPr>
            <w:r>
              <w:rPr>
                <w:b/>
              </w:rPr>
              <w:t>Finite-sample coverage (1-α), noise decoupling, zero failure.</w:t>
            </w:r>
          </w:p>
        </w:tc>
      </w:tr>
    </w:tbl>
    <w:p>
      <w:pPr>
        <w:pStyle w:val="Heading1"/>
      </w:pPr>
      <w:r>
        <w:t>Methodology</w:t>
      </w:r>
    </w:p>
    <w:p>
      <w:pPr>
        <w:pStyle w:val="Heading2"/>
      </w:pPr>
      <w:r>
        <w:t>Architectural Overview</w:t>
      </w:r>
    </w:p>
    <w:p>
      <w:pPr>
        <w:pStyle w:val="BodyText"/>
      </w:pPr>
      <w:r>
        <w:t>UQ-DT ingests high-frequency, multi-modal structural telemetry and executes a two-stage prognostic pipeline designed for edge deployment:</w:t>
      </w:r>
    </w:p>
    <w:p>
      <w:pPr>
        <w:pStyle w:val="bulletlist"/>
      </w:pPr>
      <w:r>
        <w:t>Engine 1 (Heteroscedastic Deep Ensemble): Continuously decomposes predictive variance into aleatoric sensor noise σ_a²(x) and epistemic model ignorance σ_e²(x).</w:t>
      </w:r>
    </w:p>
    <w:p>
      <w:pPr>
        <w:pStyle w:val="bulletlist"/>
      </w:pPr>
      <w:r>
        <w:t>Engine 2 (Split Conformalized Quantile Regression): Ingests non-parametric pinball quantiles and computes exact calibration shifts Q̂_{1-α} over an exchangeable calibration fleet D_calib, guaranteeing finite-sample coverage P(y ∈ C(x)) ≥ 1 – α.</w:t>
      </w:r>
    </w:p>
    <w:p>
      <w:pPr>
        <w:pStyle w:val="bulletlist"/>
      </w:pPr>
      <w:r>
        <w:t>Engine 3 (Decision Support Engine): Evaluates tail failure probabilities against an operational horizon, feeding an integer knapsack portfolio optimizer for fleet-wide maintenance dispatch.</w:t>
      </w:r>
    </w:p>
    <w:p>
      <w:pPr>
        <w:pStyle w:val="Heading2"/>
      </w:pPr>
      <w:r>
        <w:t>Multi-Modal Telemetry and Dataset Construction</w:t>
      </w:r>
    </w:p>
    <w:p>
      <w:pPr>
        <w:pStyle w:val="BodyText"/>
      </w:pPr>
      <w:r>
        <w:t>To replicate real-world civil and industrial asset dynamics, the physical degradation simulator models non-linear mechanical damage coupled with environmental fluctuations:</w:t>
      </w:r>
    </w:p>
    <w:p>
      <w:pPr>
        <w:pStyle w:val="equation"/>
      </w:pPr>
      <w:r>
        <w:t>H_k(t) = 1.0 – (t / T_{fail, k})^{γ_k} – β_{load} · L̄_k(t)</w:t>
        <w:tab/>
        <w:t>(2)</w:t>
      </w:r>
    </w:p>
    <w:p>
      <w:pPr>
        <w:pStyle w:val="BodyText"/>
      </w:pPr>
      <w:r>
        <w:t>where H_k(t) ∈ [0, 1] is the latent health index, T_{fail, k} is failure life, γ_k ~ U(1.2, 2.5) governs non-linear wear acceleration, and L̄_k(t) is cumulative load. Telemetry channels are generated from H(t):</w:t>
      </w:r>
    </w:p>
    <w:p>
      <w:pPr>
        <w:pStyle w:val="BodyText"/>
      </w:pPr>
      <w:r>
        <w:t>Vibration RMS (g): Accelerometer response under non-linear wear:</w:t>
      </w:r>
    </w:p>
    <w:p>
      <w:pPr>
        <w:pStyle w:val="equation"/>
      </w:pPr>
      <w:r>
        <w:t>V(t) = V₀ + V_{wear} (1 – H(t))^{1.8} + N(0, σ_v²(t))</w:t>
        <w:tab/>
        <w:t>(3)</w:t>
      </w:r>
    </w:p>
    <w:p>
      <w:pPr>
        <w:pStyle w:val="BodyText"/>
      </w:pPr>
      <w:r>
        <w:t>Dynamic Strain (με): Cyclical mechanical load and diurnal thermal expansion:</w:t>
      </w:r>
    </w:p>
    <w:p>
      <w:pPr>
        <w:pStyle w:val="equation"/>
      </w:pPr>
      <w:r>
        <w:t>ε(t) = ε_{base} + ε_{load}(t) + α_{steel} · (T(t) – T₀) + Δε_{damage}(t)</w:t>
        <w:tab/>
        <w:t>(4)</w:t>
      </w:r>
    </w:p>
    <w:p>
      <w:pPr>
        <w:pStyle w:val="BodyText"/>
      </w:pPr>
      <w:r>
        <w:t>Acoustic Emission (dB): Transient stress wave energy from micro-cracking:</w:t>
      </w:r>
    </w:p>
    <w:p>
      <w:pPr>
        <w:pStyle w:val="equation"/>
      </w:pPr>
      <w:r>
        <w:t>AE(t) = AE_{amb} + 45.0 · exp(2.5(1 – H(t))) + Poisson(λ_{burst})</w:t>
        <w:tab/>
        <w:t>(5)</w:t>
      </w:r>
    </w:p>
    <w:p>
      <w:pPr>
        <w:pStyle w:val="BodyText"/>
      </w:pPr>
      <w:r>
        <w:t>Surface Temperature (°C): Ambient diurnal drift plus frictional heating:</w:t>
      </w:r>
    </w:p>
    <w:p>
      <w:pPr>
        <w:pStyle w:val="equation"/>
      </w:pPr>
      <w:r>
        <w:t>T(t) = T_{amb} + A_{diurnal} sin(2πt/24) + ΔT_{frict} (1 – H(t))² + η_T(t)</w:t>
        <w:tab/>
        <w:t>(6)</w:t>
      </w:r>
    </w:p>
    <w:p>
      <w:pPr>
        <w:pStyle w:val="tablehead"/>
      </w:pPr>
      <w:r>
        <w:t>TABLE II: UQ-DT Degradation Stage &amp; Telemetry Feature Map</w:t>
      </w:r>
    </w:p>
    <w:tbl>
      <w:tblPr>
        <w:tblW w:type="auto" w:w="0"/>
        <w:jc w:val="center"/>
        <w:tblLook w:firstColumn="1" w:firstRow="1" w:lastColumn="0" w:lastRow="0" w:noHBand="0" w:noVBand="1" w:val="04A0"/>
      </w:tblPr>
      <w:tblGrid>
        <w:gridCol w:w="2024"/>
        <w:gridCol w:w="2024"/>
        <w:gridCol w:w="2024"/>
        <w:gridCol w:w="2024"/>
        <w:gridCol w:w="2024"/>
      </w:tblGrid>
      <w:tr>
        <w:tc>
          <w:tcPr>
            <w:tcW w:type="dxa" w:w="1728"/>
            <w:tcBorders>
              <w:top w:sz="12" w:val="single" w:color="000000"/>
              <w:bottom w:sz="6" w:val="single" w:color="000000"/>
            </w:tcBorders>
          </w:tcPr>
          <w:p>
            <w:pPr>
              <w:pStyle w:val="tablecolhead"/>
            </w:pPr>
            <w:r>
              <w:t>Stage / Health</w:t>
            </w:r>
          </w:p>
        </w:tc>
        <w:tc>
          <w:tcPr>
            <w:tcW w:type="dxa" w:w="792"/>
            <w:tcBorders>
              <w:top w:sz="12" w:val="single" w:color="000000"/>
              <w:bottom w:sz="6" w:val="single" w:color="000000"/>
            </w:tcBorders>
          </w:tcPr>
          <w:p>
            <w:pPr>
              <w:pStyle w:val="tablecolhead"/>
            </w:pPr>
            <w:r>
              <w:t>Vib RMS (g)</w:t>
            </w:r>
          </w:p>
        </w:tc>
        <w:tc>
          <w:tcPr>
            <w:tcW w:type="dxa" w:w="792"/>
            <w:tcBorders>
              <w:top w:sz="12" w:val="single" w:color="000000"/>
              <w:bottom w:sz="6" w:val="single" w:color="000000"/>
            </w:tcBorders>
          </w:tcPr>
          <w:p>
            <w:pPr>
              <w:pStyle w:val="tablecolhead"/>
            </w:pPr>
            <w:r>
              <w:t>Strain (με)</w:t>
            </w:r>
          </w:p>
        </w:tc>
        <w:tc>
          <w:tcPr>
            <w:tcW w:type="dxa" w:w="720"/>
            <w:tcBorders>
              <w:top w:sz="12" w:val="single" w:color="000000"/>
              <w:bottom w:sz="6" w:val="single" w:color="000000"/>
            </w:tcBorders>
          </w:tcPr>
          <w:p>
            <w:pPr>
              <w:pStyle w:val="tablecolhead"/>
            </w:pPr>
            <w:r>
              <w:t>AE (dB)</w:t>
            </w:r>
          </w:p>
        </w:tc>
        <w:tc>
          <w:tcPr>
            <w:tcW w:type="dxa" w:w="864"/>
            <w:tcBorders>
              <w:top w:sz="12" w:val="single" w:color="000000"/>
              <w:bottom w:sz="6" w:val="single" w:color="000000"/>
            </w:tcBorders>
          </w:tcPr>
          <w:p>
            <w:pPr>
              <w:pStyle w:val="tablecolhead"/>
            </w:pPr>
            <w:r>
              <w:t>Temp (°C)</w:t>
            </w:r>
          </w:p>
        </w:tc>
      </w:tr>
      <w:tr>
        <w:tc>
          <w:tcPr>
            <w:tcW w:type="dxa" w:w="1728"/>
            <w:tcBorders>
              <w:bottom w:sz="2" w:val="single" w:color="E0E0E0"/>
            </w:tcBorders>
          </w:tcPr>
          <w:p>
            <w:pPr>
              <w:pStyle w:val="tablecopy"/>
            </w:pPr>
            <w:r>
              <w:t>Stage 1: Pristine (H ≥ 0.90)</w:t>
            </w:r>
          </w:p>
        </w:tc>
        <w:tc>
          <w:tcPr>
            <w:tcW w:type="dxa" w:w="792"/>
            <w:tcBorders>
              <w:bottom w:sz="2" w:val="single" w:color="E0E0E0"/>
            </w:tcBorders>
          </w:tcPr>
          <w:p>
            <w:pPr>
              <w:pStyle w:val="tablecopy"/>
            </w:pPr>
            <w:r>
              <w:t>0.20 ± 0.03</w:t>
            </w:r>
          </w:p>
        </w:tc>
        <w:tc>
          <w:tcPr>
            <w:tcW w:type="dxa" w:w="792"/>
            <w:tcBorders>
              <w:bottom w:sz="2" w:val="single" w:color="E0E0E0"/>
            </w:tcBorders>
          </w:tcPr>
          <w:p>
            <w:pPr>
              <w:pStyle w:val="tablecopy"/>
            </w:pPr>
            <w:r>
              <w:t>150 ± 15</w:t>
            </w:r>
          </w:p>
        </w:tc>
        <w:tc>
          <w:tcPr>
            <w:tcW w:type="dxa" w:w="720"/>
            <w:tcBorders>
              <w:bottom w:sz="2" w:val="single" w:color="E0E0E0"/>
            </w:tcBorders>
          </w:tcPr>
          <w:p>
            <w:pPr>
              <w:pStyle w:val="tablecopy"/>
            </w:pPr>
            <w:r>
              <w:t>28 ± 2</w:t>
            </w:r>
          </w:p>
        </w:tc>
        <w:tc>
          <w:tcPr>
            <w:tcW w:type="dxa" w:w="864"/>
            <w:tcBorders>
              <w:bottom w:sz="2" w:val="single" w:color="E0E0E0"/>
            </w:tcBorders>
          </w:tcPr>
          <w:p>
            <w:pPr>
              <w:pStyle w:val="tablecopy"/>
            </w:pPr>
            <w:r>
              <w:t>22.5 ± 2.0</w:t>
            </w:r>
          </w:p>
        </w:tc>
      </w:tr>
      <w:tr>
        <w:tc>
          <w:tcPr>
            <w:tcW w:type="dxa" w:w="1728"/>
            <w:tcBorders>
              <w:bottom w:sz="2" w:val="single" w:color="E0E0E0"/>
            </w:tcBorders>
          </w:tcPr>
          <w:p>
            <w:pPr>
              <w:pStyle w:val="tablecopy"/>
            </w:pPr>
            <w:r>
              <w:t>Stage 2: Micro-Fatigue (H ∈ [0.7, 0.9))</w:t>
            </w:r>
          </w:p>
        </w:tc>
        <w:tc>
          <w:tcPr>
            <w:tcW w:type="dxa" w:w="792"/>
            <w:tcBorders>
              <w:bottom w:sz="2" w:val="single" w:color="E0E0E0"/>
            </w:tcBorders>
          </w:tcPr>
          <w:p>
            <w:pPr>
              <w:pStyle w:val="tablecopy"/>
            </w:pPr>
            <w:r>
              <w:t>0.35 ± 0.05</w:t>
            </w:r>
          </w:p>
        </w:tc>
        <w:tc>
          <w:tcPr>
            <w:tcW w:type="dxa" w:w="792"/>
            <w:tcBorders>
              <w:bottom w:sz="2" w:val="single" w:color="E0E0E0"/>
            </w:tcBorders>
          </w:tcPr>
          <w:p>
            <w:pPr>
              <w:pStyle w:val="tablecopy"/>
            </w:pPr>
            <w:r>
              <w:t>185 ± 22</w:t>
            </w:r>
          </w:p>
        </w:tc>
        <w:tc>
          <w:tcPr>
            <w:tcW w:type="dxa" w:w="720"/>
            <w:tcBorders>
              <w:bottom w:sz="2" w:val="single" w:color="E0E0E0"/>
            </w:tcBorders>
          </w:tcPr>
          <w:p>
            <w:pPr>
              <w:pStyle w:val="tablecopy"/>
            </w:pPr>
            <w:r>
              <w:t>42 ± 4</w:t>
            </w:r>
          </w:p>
        </w:tc>
        <w:tc>
          <w:tcPr>
            <w:tcW w:type="dxa" w:w="864"/>
            <w:tcBorders>
              <w:bottom w:sz="2" w:val="single" w:color="E0E0E0"/>
            </w:tcBorders>
          </w:tcPr>
          <w:p>
            <w:pPr>
              <w:pStyle w:val="tablecopy"/>
            </w:pPr>
            <w:r>
              <w:t>25.0 ± 2.5</w:t>
            </w:r>
          </w:p>
        </w:tc>
      </w:tr>
      <w:tr>
        <w:tc>
          <w:tcPr>
            <w:tcW w:type="dxa" w:w="1728"/>
            <w:tcBorders>
              <w:bottom w:sz="2" w:val="single" w:color="E0E0E0"/>
            </w:tcBorders>
          </w:tcPr>
          <w:p>
            <w:pPr>
              <w:pStyle w:val="tablecopy"/>
            </w:pPr>
            <w:r>
              <w:t>Stage 3: Accelerated (H ∈ [0.4, 0.7))</w:t>
            </w:r>
          </w:p>
        </w:tc>
        <w:tc>
          <w:tcPr>
            <w:tcW w:type="dxa" w:w="792"/>
            <w:tcBorders>
              <w:bottom w:sz="2" w:val="single" w:color="E0E0E0"/>
            </w:tcBorders>
          </w:tcPr>
          <w:p>
            <w:pPr>
              <w:pStyle w:val="tablecopy"/>
            </w:pPr>
            <w:r>
              <w:t>0.85 ± 0.12</w:t>
            </w:r>
          </w:p>
        </w:tc>
        <w:tc>
          <w:tcPr>
            <w:tcW w:type="dxa" w:w="792"/>
            <w:tcBorders>
              <w:bottom w:sz="2" w:val="single" w:color="E0E0E0"/>
            </w:tcBorders>
          </w:tcPr>
          <w:p>
            <w:pPr>
              <w:pStyle w:val="tablecopy"/>
            </w:pPr>
            <w:r>
              <w:t>260 ± 35</w:t>
            </w:r>
          </w:p>
        </w:tc>
        <w:tc>
          <w:tcPr>
            <w:tcW w:type="dxa" w:w="720"/>
            <w:tcBorders>
              <w:bottom w:sz="2" w:val="single" w:color="E0E0E0"/>
            </w:tcBorders>
          </w:tcPr>
          <w:p>
            <w:pPr>
              <w:pStyle w:val="tablecopy"/>
            </w:pPr>
            <w:r>
              <w:t>65 ± 6</w:t>
            </w:r>
          </w:p>
        </w:tc>
        <w:tc>
          <w:tcPr>
            <w:tcW w:type="dxa" w:w="864"/>
            <w:tcBorders>
              <w:bottom w:sz="2" w:val="single" w:color="E0E0E0"/>
            </w:tcBorders>
          </w:tcPr>
          <w:p>
            <w:pPr>
              <w:pStyle w:val="tablecopy"/>
            </w:pPr>
            <w:r>
              <w:t>32.0 ± 4.0</w:t>
            </w:r>
          </w:p>
        </w:tc>
      </w:tr>
      <w:tr>
        <w:tc>
          <w:tcPr>
            <w:tcW w:type="dxa" w:w="1728"/>
            <w:tcBorders>
              <w:bottom w:sz="2" w:val="single" w:color="E0E0E0"/>
            </w:tcBorders>
          </w:tcPr>
          <w:p>
            <w:pPr>
              <w:pStyle w:val="tablecopy"/>
            </w:pPr>
            <w:r>
              <w:t>Stage 4: Critical (H &lt; 0.40)</w:t>
            </w:r>
          </w:p>
        </w:tc>
        <w:tc>
          <w:tcPr>
            <w:tcW w:type="dxa" w:w="792"/>
            <w:tcBorders>
              <w:bottom w:sz="2" w:val="single" w:color="E0E0E0"/>
            </w:tcBorders>
          </w:tcPr>
          <w:p>
            <w:pPr>
              <w:pStyle w:val="tablecopy"/>
            </w:pPr>
            <w:r>
              <w:t>2.40 ± 0.45</w:t>
            </w:r>
          </w:p>
        </w:tc>
        <w:tc>
          <w:tcPr>
            <w:tcW w:type="dxa" w:w="792"/>
            <w:tcBorders>
              <w:bottom w:sz="2" w:val="single" w:color="E0E0E0"/>
            </w:tcBorders>
          </w:tcPr>
          <w:p>
            <w:pPr>
              <w:pStyle w:val="tablecopy"/>
            </w:pPr>
            <w:r>
              <w:t>480 ± 65</w:t>
            </w:r>
          </w:p>
        </w:tc>
        <w:tc>
          <w:tcPr>
            <w:tcW w:type="dxa" w:w="720"/>
            <w:tcBorders>
              <w:bottom w:sz="2" w:val="single" w:color="E0E0E0"/>
            </w:tcBorders>
          </w:tcPr>
          <w:p>
            <w:pPr>
              <w:pStyle w:val="tablecopy"/>
            </w:pPr>
            <w:r>
              <w:t>92 ± 9</w:t>
            </w:r>
          </w:p>
        </w:tc>
        <w:tc>
          <w:tcPr>
            <w:tcW w:type="dxa" w:w="864"/>
            <w:tcBorders>
              <w:bottom w:sz="2" w:val="single" w:color="E0E0E0"/>
            </w:tcBorders>
          </w:tcPr>
          <w:p>
            <w:pPr>
              <w:pStyle w:val="tablecopy"/>
            </w:pPr>
            <w:r>
              <w:t>48.5 ± 6.5</w:t>
            </w:r>
          </w:p>
        </w:tc>
      </w:tr>
      <w:tr>
        <w:tc>
          <w:tcPr>
            <w:tcW w:type="dxa" w:w="1728"/>
            <w:tcBorders>
              <w:bottom w:sz="12" w:val="single" w:color="000000"/>
            </w:tcBorders>
          </w:tcPr>
          <w:p>
            <w:pPr>
              <w:pStyle w:val="tablecopy"/>
            </w:pPr>
            <w:r>
              <w:t>OOD Thermal Shock (+8.5°C)</w:t>
            </w:r>
          </w:p>
        </w:tc>
        <w:tc>
          <w:tcPr>
            <w:tcW w:type="dxa" w:w="792"/>
            <w:tcBorders>
              <w:bottom w:sz="12" w:val="single" w:color="000000"/>
            </w:tcBorders>
          </w:tcPr>
          <w:p>
            <w:pPr>
              <w:pStyle w:val="tablecopy"/>
            </w:pPr>
            <w:r>
              <w:t>1.25 ± 0.30</w:t>
            </w:r>
          </w:p>
        </w:tc>
        <w:tc>
          <w:tcPr>
            <w:tcW w:type="dxa" w:w="792"/>
            <w:tcBorders>
              <w:bottom w:sz="12" w:val="single" w:color="000000"/>
            </w:tcBorders>
          </w:tcPr>
          <w:p>
            <w:pPr>
              <w:pStyle w:val="tablecopy"/>
            </w:pPr>
            <w:r>
              <w:t>385 ± 50</w:t>
            </w:r>
          </w:p>
        </w:tc>
        <w:tc>
          <w:tcPr>
            <w:tcW w:type="dxa" w:w="720"/>
            <w:tcBorders>
              <w:bottom w:sz="12" w:val="single" w:color="000000"/>
            </w:tcBorders>
          </w:tcPr>
          <w:p>
            <w:pPr>
              <w:pStyle w:val="tablecopy"/>
            </w:pPr>
            <w:r>
              <w:t>78 ± 8</w:t>
            </w:r>
          </w:p>
        </w:tc>
        <w:tc>
          <w:tcPr>
            <w:tcW w:type="dxa" w:w="864"/>
            <w:tcBorders>
              <w:bottom w:sz="12" w:val="single" w:color="000000"/>
            </w:tcBorders>
          </w:tcPr>
          <w:p>
            <w:pPr>
              <w:pStyle w:val="tablecopy"/>
            </w:pPr>
            <w:r>
              <w:t>58.0 ± 8.5</w:t>
            </w:r>
          </w:p>
        </w:tc>
      </w:tr>
    </w:tbl>
    <w:p>
      <w:pPr>
        <w:pStyle w:val="tablehead"/>
      </w:pPr>
      <w:r>
        <w:t>TABLE III: Multi-Asset Telemetry Fleet Distribution</w:t>
      </w:r>
    </w:p>
    <w:tbl>
      <w:tblPr>
        <w:tblW w:type="auto" w:w="0"/>
        <w:jc w:val="center"/>
        <w:tblLook w:firstColumn="1" w:firstRow="1" w:lastColumn="0" w:lastRow="0" w:noHBand="0" w:noVBand="1" w:val="04A0"/>
      </w:tblPr>
      <w:tblGrid>
        <w:gridCol w:w="2024"/>
        <w:gridCol w:w="2024"/>
        <w:gridCol w:w="2024"/>
        <w:gridCol w:w="2024"/>
        <w:gridCol w:w="2024"/>
      </w:tblGrid>
      <w:tr>
        <w:tc>
          <w:tcPr>
            <w:tcW w:type="dxa" w:w="1296"/>
            <w:tcBorders>
              <w:top w:sz="12" w:val="single" w:color="000000"/>
              <w:bottom w:sz="6" w:val="single" w:color="000000"/>
            </w:tcBorders>
          </w:tcPr>
          <w:p>
            <w:pPr>
              <w:pStyle w:val="tablecolhead"/>
            </w:pPr>
            <w:r>
              <w:t>Partition</w:t>
            </w:r>
          </w:p>
        </w:tc>
        <w:tc>
          <w:tcPr>
            <w:tcW w:type="dxa" w:w="576"/>
            <w:tcBorders>
              <w:top w:sz="12" w:val="single" w:color="000000"/>
              <w:bottom w:sz="6" w:val="single" w:color="000000"/>
            </w:tcBorders>
          </w:tcPr>
          <w:p>
            <w:pPr>
              <w:pStyle w:val="tablecolhead"/>
            </w:pPr>
            <w:r>
              <w:t>Assets</w:t>
            </w:r>
          </w:p>
        </w:tc>
        <w:tc>
          <w:tcPr>
            <w:tcW w:type="dxa" w:w="720"/>
            <w:tcBorders>
              <w:top w:sz="12" w:val="single" w:color="000000"/>
              <w:bottom w:sz="6" w:val="single" w:color="000000"/>
            </w:tcBorders>
          </w:tcPr>
          <w:p>
            <w:pPr>
              <w:pStyle w:val="tablecolhead"/>
            </w:pPr>
            <w:r>
              <w:t>Samples</w:t>
            </w:r>
          </w:p>
        </w:tc>
        <w:tc>
          <w:tcPr>
            <w:tcW w:type="dxa" w:w="1152"/>
            <w:tcBorders>
              <w:top w:sz="12" w:val="single" w:color="000000"/>
              <w:bottom w:sz="6" w:val="single" w:color="000000"/>
            </w:tcBorders>
          </w:tcPr>
          <w:p>
            <w:pPr>
              <w:pStyle w:val="tablecolhead"/>
            </w:pPr>
            <w:r>
              <w:t>Operational Regime</w:t>
            </w:r>
          </w:p>
        </w:tc>
        <w:tc>
          <w:tcPr>
            <w:tcW w:type="dxa" w:w="1152"/>
            <w:tcBorders>
              <w:top w:sz="12" w:val="single" w:color="000000"/>
              <w:bottom w:sz="6" w:val="single" w:color="000000"/>
            </w:tcBorders>
          </w:tcPr>
          <w:p>
            <w:pPr>
              <w:pStyle w:val="tablecolhead"/>
            </w:pPr>
            <w:r>
              <w:t>Conditions</w:t>
            </w:r>
          </w:p>
        </w:tc>
      </w:tr>
      <w:tr>
        <w:tc>
          <w:tcPr>
            <w:tcW w:type="dxa" w:w="1296"/>
            <w:tcBorders>
              <w:bottom w:sz="2" w:val="single" w:color="E0E0E0"/>
            </w:tcBorders>
          </w:tcPr>
          <w:p>
            <w:pPr>
              <w:pStyle w:val="tablecopy"/>
            </w:pPr>
            <w:r>
              <w:t>Training D_train</w:t>
            </w:r>
          </w:p>
        </w:tc>
        <w:tc>
          <w:tcPr>
            <w:tcW w:type="dxa" w:w="576"/>
            <w:tcBorders>
              <w:bottom w:sz="2" w:val="single" w:color="E0E0E0"/>
            </w:tcBorders>
          </w:tcPr>
          <w:p>
            <w:pPr>
              <w:pStyle w:val="tablecopy"/>
            </w:pPr>
            <w:r>
              <w:t>20</w:t>
            </w:r>
          </w:p>
        </w:tc>
        <w:tc>
          <w:tcPr>
            <w:tcW w:type="dxa" w:w="720"/>
            <w:tcBorders>
              <w:bottom w:sz="2" w:val="single" w:color="E0E0E0"/>
            </w:tcBorders>
          </w:tcPr>
          <w:p>
            <w:pPr>
              <w:pStyle w:val="tablecopy"/>
            </w:pPr>
            <w:r>
              <w:t>4,524</w:t>
            </w:r>
          </w:p>
        </w:tc>
        <w:tc>
          <w:tcPr>
            <w:tcW w:type="dxa" w:w="1152"/>
            <w:tcBorders>
              <w:bottom w:sz="2" w:val="single" w:color="E0E0E0"/>
            </w:tcBorders>
          </w:tcPr>
          <w:p>
            <w:pPr>
              <w:pStyle w:val="tablecopy"/>
            </w:pPr>
            <w:r>
              <w:t>Baseline load</w:t>
            </w:r>
          </w:p>
        </w:tc>
        <w:tc>
          <w:tcPr>
            <w:tcW w:type="dxa" w:w="1152"/>
            <w:tcBorders>
              <w:bottom w:sz="2" w:val="single" w:color="E0E0E0"/>
            </w:tcBorders>
          </w:tcPr>
          <w:p>
            <w:pPr>
              <w:pStyle w:val="tablecopy"/>
            </w:pPr>
            <w:r>
              <w:t>Diurnal thermal drift</w:t>
            </w:r>
          </w:p>
        </w:tc>
      </w:tr>
      <w:tr>
        <w:tc>
          <w:tcPr>
            <w:tcW w:type="dxa" w:w="1296"/>
            <w:tcBorders>
              <w:bottom w:sz="2" w:val="single" w:color="E0E0E0"/>
            </w:tcBorders>
          </w:tcPr>
          <w:p>
            <w:pPr>
              <w:pStyle w:val="tablecopy"/>
            </w:pPr>
            <w:r>
              <w:t>Calibration D_calib</w:t>
            </w:r>
          </w:p>
        </w:tc>
        <w:tc>
          <w:tcPr>
            <w:tcW w:type="dxa" w:w="576"/>
            <w:tcBorders>
              <w:bottom w:sz="2" w:val="single" w:color="E0E0E0"/>
            </w:tcBorders>
          </w:tcPr>
          <w:p>
            <w:pPr>
              <w:pStyle w:val="tablecopy"/>
            </w:pPr>
            <w:r>
              <w:t>8</w:t>
            </w:r>
          </w:p>
        </w:tc>
        <w:tc>
          <w:tcPr>
            <w:tcW w:type="dxa" w:w="720"/>
            <w:tcBorders>
              <w:bottom w:sz="2" w:val="single" w:color="E0E0E0"/>
            </w:tcBorders>
          </w:tcPr>
          <w:p>
            <w:pPr>
              <w:pStyle w:val="tablecopy"/>
            </w:pPr>
            <w:r>
              <w:t>1,812</w:t>
            </w:r>
          </w:p>
        </w:tc>
        <w:tc>
          <w:tcPr>
            <w:tcW w:type="dxa" w:w="1152"/>
            <w:tcBorders>
              <w:bottom w:sz="2" w:val="single" w:color="E0E0E0"/>
            </w:tcBorders>
          </w:tcPr>
          <w:p>
            <w:pPr>
              <w:pStyle w:val="tablecopy"/>
            </w:pPr>
            <w:r>
              <w:t>Varying load</w:t>
            </w:r>
          </w:p>
        </w:tc>
        <w:tc>
          <w:tcPr>
            <w:tcW w:type="dxa" w:w="1152"/>
            <w:tcBorders>
              <w:bottom w:sz="2" w:val="single" w:color="E0E0E0"/>
            </w:tcBorders>
          </w:tcPr>
          <w:p>
            <w:pPr>
              <w:pStyle w:val="tablecopy"/>
            </w:pPr>
            <w:r>
              <w:t>Held-out split</w:t>
            </w:r>
          </w:p>
        </w:tc>
      </w:tr>
      <w:tr>
        <w:tc>
          <w:tcPr>
            <w:tcW w:type="dxa" w:w="1296"/>
            <w:tcBorders>
              <w:bottom w:sz="2" w:val="single" w:color="E0E0E0"/>
            </w:tcBorders>
          </w:tcPr>
          <w:p>
            <w:pPr>
              <w:pStyle w:val="tablecopy"/>
            </w:pPr>
            <w:r>
              <w:t>Nominal Test D_test^{nom}</w:t>
            </w:r>
          </w:p>
        </w:tc>
        <w:tc>
          <w:tcPr>
            <w:tcW w:type="dxa" w:w="576"/>
            <w:tcBorders>
              <w:bottom w:sz="2" w:val="single" w:color="E0E0E0"/>
            </w:tcBorders>
          </w:tcPr>
          <w:p>
            <w:pPr>
              <w:pStyle w:val="tablecopy"/>
            </w:pPr>
            <w:r>
              <w:t>10</w:t>
            </w:r>
          </w:p>
        </w:tc>
        <w:tc>
          <w:tcPr>
            <w:tcW w:type="dxa" w:w="720"/>
            <w:tcBorders>
              <w:bottom w:sz="2" w:val="single" w:color="E0E0E0"/>
            </w:tcBorders>
          </w:tcPr>
          <w:p>
            <w:pPr>
              <w:pStyle w:val="tablecopy"/>
            </w:pPr>
            <w:r>
              <w:t>2,263</w:t>
            </w:r>
          </w:p>
        </w:tc>
        <w:tc>
          <w:tcPr>
            <w:tcW w:type="dxa" w:w="1152"/>
            <w:tcBorders>
              <w:bottom w:sz="2" w:val="single" w:color="E0E0E0"/>
            </w:tcBorders>
          </w:tcPr>
          <w:p>
            <w:pPr>
              <w:pStyle w:val="tablecopy"/>
            </w:pPr>
            <w:r>
              <w:t>Standard regime</w:t>
            </w:r>
          </w:p>
        </w:tc>
        <w:tc>
          <w:tcPr>
            <w:tcW w:type="dxa" w:w="1152"/>
            <w:tcBorders>
              <w:bottom w:sz="2" w:val="single" w:color="E0E0E0"/>
            </w:tcBorders>
          </w:tcPr>
          <w:p>
            <w:pPr>
              <w:pStyle w:val="tablecopy"/>
            </w:pPr>
            <w:r>
              <w:t>Exchangeable</w:t>
            </w:r>
          </w:p>
        </w:tc>
      </w:tr>
      <w:tr>
        <w:tc>
          <w:tcPr>
            <w:tcW w:type="dxa" w:w="1296"/>
            <w:tcBorders>
              <w:bottom w:sz="2" w:val="single" w:color="E0E0E0"/>
            </w:tcBorders>
          </w:tcPr>
          <w:p>
            <w:pPr>
              <w:pStyle w:val="tablecopy"/>
            </w:pPr>
            <w:r>
              <w:t>OOD Stress D_test^{ood}</w:t>
            </w:r>
          </w:p>
        </w:tc>
        <w:tc>
          <w:tcPr>
            <w:tcW w:type="dxa" w:w="576"/>
            <w:tcBorders>
              <w:bottom w:sz="2" w:val="single" w:color="E0E0E0"/>
            </w:tcBorders>
          </w:tcPr>
          <w:p>
            <w:pPr>
              <w:pStyle w:val="tablecopy"/>
            </w:pPr>
            <w:r>
              <w:t>6</w:t>
            </w:r>
          </w:p>
        </w:tc>
        <w:tc>
          <w:tcPr>
            <w:tcW w:type="dxa" w:w="720"/>
            <w:tcBorders>
              <w:bottom w:sz="2" w:val="single" w:color="E0E0E0"/>
            </w:tcBorders>
          </w:tcPr>
          <w:p>
            <w:pPr>
              <w:pStyle w:val="tablecopy"/>
            </w:pPr>
            <w:r>
              <w:t>1,566</w:t>
            </w:r>
          </w:p>
        </w:tc>
        <w:tc>
          <w:tcPr>
            <w:tcW w:type="dxa" w:w="1152"/>
            <w:tcBorders>
              <w:bottom w:sz="2" w:val="single" w:color="E0E0E0"/>
            </w:tcBorders>
          </w:tcPr>
          <w:p>
            <w:pPr>
              <w:pStyle w:val="tablecopy"/>
            </w:pPr>
            <w:r>
              <w:t>1.35x Overload</w:t>
            </w:r>
          </w:p>
        </w:tc>
        <w:tc>
          <w:tcPr>
            <w:tcW w:type="dxa" w:w="1152"/>
            <w:tcBorders>
              <w:bottom w:sz="2" w:val="single" w:color="E0E0E0"/>
            </w:tcBorders>
          </w:tcPr>
          <w:p>
            <w:pPr>
              <w:pStyle w:val="tablecopy"/>
            </w:pPr>
            <w:r>
              <w:t>+8.5°C Heatwave</w:t>
            </w:r>
          </w:p>
        </w:tc>
      </w:tr>
      <w:tr>
        <w:tc>
          <w:tcPr>
            <w:tcW w:type="dxa" w:w="1296"/>
            <w:tcBorders>
              <w:bottom w:sz="12" w:val="single" w:color="000000"/>
            </w:tcBorders>
          </w:tcPr>
          <w:p>
            <w:pPr>
              <w:pStyle w:val="tablecopy"/>
            </w:pPr>
            <w:r>
              <w:rPr>
                <w:b/>
              </w:rPr>
              <w:t>Total Corpus Fleet</w:t>
            </w:r>
          </w:p>
        </w:tc>
        <w:tc>
          <w:tcPr>
            <w:tcW w:type="dxa" w:w="576"/>
            <w:tcBorders>
              <w:bottom w:sz="12" w:val="single" w:color="000000"/>
            </w:tcBorders>
          </w:tcPr>
          <w:p>
            <w:pPr>
              <w:pStyle w:val="tablecopy"/>
            </w:pPr>
            <w:r>
              <w:rPr>
                <w:b/>
              </w:rPr>
              <w:t>58</w:t>
            </w:r>
          </w:p>
        </w:tc>
        <w:tc>
          <w:tcPr>
            <w:tcW w:type="dxa" w:w="720"/>
            <w:tcBorders>
              <w:bottom w:sz="12" w:val="single" w:color="000000"/>
            </w:tcBorders>
          </w:tcPr>
          <w:p>
            <w:pPr>
              <w:pStyle w:val="tablecopy"/>
            </w:pPr>
            <w:r>
              <w:rPr>
                <w:b/>
              </w:rPr>
              <w:t>13,126</w:t>
            </w:r>
          </w:p>
        </w:tc>
        <w:tc>
          <w:tcPr>
            <w:tcW w:type="dxa" w:w="1152"/>
            <w:tcBorders>
              <w:bottom w:sz="12" w:val="single" w:color="000000"/>
            </w:tcBorders>
          </w:tcPr>
          <w:p>
            <w:pPr>
              <w:pStyle w:val="tablecopy"/>
            </w:pPr>
            <w:r>
              <w:rPr>
                <w:b/>
              </w:rPr>
              <w:t>Full Trajectories</w:t>
            </w:r>
          </w:p>
        </w:tc>
        <w:tc>
          <w:tcPr>
            <w:tcW w:type="dxa" w:w="1152"/>
            <w:tcBorders>
              <w:bottom w:sz="12" w:val="single" w:color="000000"/>
            </w:tcBorders>
          </w:tcPr>
          <w:p>
            <w:pPr>
              <w:pStyle w:val="tablecopy"/>
            </w:pPr>
            <w:r>
              <w:rPr>
                <w:b/>
              </w:rPr>
              <w:t>All Regimes</w:t>
            </w:r>
          </w:p>
        </w:tc>
      </w:tr>
    </w:tbl>
    <w:p>
      <w:pPr>
        <w:pStyle w:val="Heading2"/>
      </w:pPr>
      <w:r>
        <w:t>Dual-Engine Architecture</w:t>
      </w:r>
    </w:p>
    <w:p>
      <w:pPr>
        <w:pStyle w:val="BodyText"/>
      </w:pPr>
      <w:r>
        <w:t>1) Engine 1: Heteroscedastic Deep Ensemble: Each network member m outputs mean μ_{θ_m}(x) and log-variance s_{θ_m}(x) = log σ_{θ_m}²(x), minimizing Gaussian NLL:</w:t>
      </w:r>
    </w:p>
    <w:p>
      <w:pPr>
        <w:pStyle w:val="equation"/>
      </w:pPr>
      <w:r>
        <w:t>L_{NLL}(θ_m) = ½N ∑_{j=1}^N [ (y_j – μ_{θ_m}(x_j))² / exp(s_{θ_m}(x_j)) + s_{θ_m}(x_j) ]</w:t>
        <w:tab/>
        <w:t>(7)</w:t>
      </w:r>
    </w:p>
    <w:p>
      <w:pPr>
        <w:pStyle w:val="BodyText"/>
      </w:pPr>
      <w:r>
        <w:t>Aggregated predictions decouple variance into aleatoric and epistemic components:</w:t>
      </w:r>
    </w:p>
    <w:p>
      <w:pPr>
        <w:pStyle w:val="equation"/>
      </w:pPr>
      <w:r>
        <w:t>μ̄(x*) = (1/M) ∑ μ_{θ_m}(x*)</w:t>
        <w:tab/>
        <w:t>(8)</w:t>
      </w:r>
    </w:p>
    <w:p>
      <w:pPr>
        <w:pStyle w:val="equation"/>
      </w:pPr>
      <w:r>
        <w:t>σ_{aleatoric}²(x*) = (1/M) ∑ exp(s_{θ_m}(x*))</w:t>
        <w:tab/>
        <w:t>(9)</w:t>
      </w:r>
    </w:p>
    <w:p>
      <w:pPr>
        <w:pStyle w:val="equation"/>
      </w:pPr>
      <w:r>
        <w:t>σ_{epistemic}²(x*) = (1/M) ∑ (μ_{θ_m}(x*) – μ̄(x*))²</w:t>
        <w:tab/>
        <w:t>(10)</w:t>
      </w:r>
    </w:p>
    <w:p>
      <w:pPr>
        <w:pStyle w:val="BodyText"/>
      </w:pPr>
      <w:r>
        <w:t>2) Engine 2: Split Conformalized Quantile Regression: Base quantiles q̂_{α/2}(x) and q̂_{1-α/2}(x) are trained with pinball loss [17]. On held-out calibration fleet D_calib, non-conformity scores are computed:</w:t>
      </w:r>
    </w:p>
    <w:p>
      <w:pPr>
        <w:pStyle w:val="equation"/>
      </w:pPr>
      <w:r>
        <w:t>E_k = max( q̂_{α/2}(x_k) – y_k, y_k – q̂_{1-α/2}(x_k) )</w:t>
        <w:tab/>
        <w:t>(11)</w:t>
      </w:r>
    </w:p>
    <w:p>
      <w:pPr>
        <w:pStyle w:val="BodyText"/>
      </w:pPr>
      <w:r>
        <w:t>The empirical quantile adjustment Q̂_{1-α} guarantees:</w:t>
      </w:r>
    </w:p>
    <w:p>
      <w:pPr>
        <w:pStyle w:val="equation"/>
      </w:pPr>
      <w:r>
        <w:t>P( y_{test} ∈ [ q̂_{α/2}(x) – Q̂_{1-α}, q̂_{1-α/2}(x) + Q̂_{1-α} ] ) ≥ 1 – α</w:t>
        <w:tab/>
        <w:t>(12)</w:t>
      </w:r>
    </w:p>
    <w:p>
      <w:pPr>
        <w:pStyle w:val="tablehead"/>
      </w:pPr>
      <w:r>
        <w:t>TABLE IV: Hyperparameter &amp; Training Configuration</w:t>
      </w:r>
    </w:p>
    <w:tbl>
      <w:tblPr>
        <w:tblW w:type="auto" w:w="0"/>
        <w:jc w:val="center"/>
        <w:tblLook w:firstColumn="1" w:firstRow="1" w:lastColumn="0" w:lastRow="0" w:noHBand="0" w:noVBand="1" w:val="04A0"/>
      </w:tblPr>
      <w:tblGrid>
        <w:gridCol w:w="3373"/>
        <w:gridCol w:w="3373"/>
        <w:gridCol w:w="3373"/>
      </w:tblGrid>
      <w:tr>
        <w:tc>
          <w:tcPr>
            <w:tcW w:type="dxa" w:w="1728"/>
            <w:tcBorders>
              <w:top w:sz="12" w:val="single" w:color="000000"/>
              <w:bottom w:sz="6" w:val="single" w:color="000000"/>
            </w:tcBorders>
          </w:tcPr>
          <w:p>
            <w:pPr>
              <w:pStyle w:val="tablecolhead"/>
            </w:pPr>
            <w:r>
              <w:t>Hyperparameter</w:t>
            </w:r>
          </w:p>
        </w:tc>
        <w:tc>
          <w:tcPr>
            <w:tcW w:type="dxa" w:w="1152"/>
            <w:tcBorders>
              <w:top w:sz="12" w:val="single" w:color="000000"/>
              <w:bottom w:sz="6" w:val="single" w:color="000000"/>
            </w:tcBorders>
          </w:tcPr>
          <w:p>
            <w:pPr>
              <w:pStyle w:val="tablecolhead"/>
            </w:pPr>
            <w:r>
              <w:t>Value</w:t>
            </w:r>
          </w:p>
        </w:tc>
        <w:tc>
          <w:tcPr>
            <w:tcW w:type="dxa" w:w="2016"/>
            <w:tcBorders>
              <w:top w:sz="12" w:val="single" w:color="000000"/>
              <w:bottom w:sz="6" w:val="single" w:color="000000"/>
            </w:tcBorders>
          </w:tcPr>
          <w:p>
            <w:pPr>
              <w:pStyle w:val="tablecolhead"/>
            </w:pPr>
            <w:r>
              <w:t>Role / Justification</w:t>
            </w:r>
          </w:p>
        </w:tc>
      </w:tr>
      <w:tr>
        <w:tc>
          <w:tcPr>
            <w:tcW w:type="dxa" w:w="1728"/>
            <w:tcBorders>
              <w:bottom w:sz="2" w:val="single" w:color="E0E0E0"/>
            </w:tcBorders>
          </w:tcPr>
          <w:p>
            <w:pPr>
              <w:pStyle w:val="tablecopy"/>
            </w:pPr>
            <w:r>
              <w:t>Ensemble Members (M)</w:t>
            </w:r>
          </w:p>
        </w:tc>
        <w:tc>
          <w:tcPr>
            <w:tcW w:type="dxa" w:w="1152"/>
            <w:tcBorders>
              <w:bottom w:sz="2" w:val="single" w:color="E0E0E0"/>
            </w:tcBorders>
          </w:tcPr>
          <w:p>
            <w:pPr>
              <w:pStyle w:val="tablecopy"/>
            </w:pPr>
            <w:r>
              <w:t>4</w:t>
            </w:r>
          </w:p>
        </w:tc>
        <w:tc>
          <w:tcPr>
            <w:tcW w:type="dxa" w:w="2016"/>
            <w:tcBorders>
              <w:bottom w:sz="2" w:val="single" w:color="E0E0E0"/>
            </w:tcBorders>
          </w:tcPr>
          <w:p>
            <w:pPr>
              <w:pStyle w:val="tablecopy"/>
            </w:pPr>
            <w:r>
              <w:t>Epistemic variance diversity</w:t>
            </w:r>
          </w:p>
        </w:tc>
      </w:tr>
      <w:tr>
        <w:tc>
          <w:tcPr>
            <w:tcW w:type="dxa" w:w="1728"/>
            <w:tcBorders>
              <w:bottom w:sz="2" w:val="single" w:color="E0E0E0"/>
            </w:tcBorders>
          </w:tcPr>
          <w:p>
            <w:pPr>
              <w:pStyle w:val="tablecopy"/>
            </w:pPr>
            <w:r>
              <w:t>Network Hidden Layers</w:t>
            </w:r>
          </w:p>
        </w:tc>
        <w:tc>
          <w:tcPr>
            <w:tcW w:type="dxa" w:w="1152"/>
            <w:tcBorders>
              <w:bottom w:sz="2" w:val="single" w:color="E0E0E0"/>
            </w:tcBorders>
          </w:tcPr>
          <w:p>
            <w:pPr>
              <w:pStyle w:val="tablecopy"/>
            </w:pPr>
            <w:r>
              <w:t>[64, 32]</w:t>
            </w:r>
          </w:p>
        </w:tc>
        <w:tc>
          <w:tcPr>
            <w:tcW w:type="dxa" w:w="2016"/>
            <w:tcBorders>
              <w:bottom w:sz="2" w:val="single" w:color="E0E0E0"/>
            </w:tcBorders>
          </w:tcPr>
          <w:p>
            <w:pPr>
              <w:pStyle w:val="tablecopy"/>
            </w:pPr>
            <w:r>
              <w:t>Non-linear surrogate mapping</w:t>
            </w:r>
          </w:p>
        </w:tc>
      </w:tr>
      <w:tr>
        <w:tc>
          <w:tcPr>
            <w:tcW w:type="dxa" w:w="1728"/>
            <w:tcBorders>
              <w:bottom w:sz="2" w:val="single" w:color="E0E0E0"/>
            </w:tcBorders>
          </w:tcPr>
          <w:p>
            <w:pPr>
              <w:pStyle w:val="tablecopy"/>
            </w:pPr>
            <w:r>
              <w:t>Optimizer</w:t>
            </w:r>
          </w:p>
        </w:tc>
        <w:tc>
          <w:tcPr>
            <w:tcW w:type="dxa" w:w="1152"/>
            <w:tcBorders>
              <w:bottom w:sz="2" w:val="single" w:color="E0E0E0"/>
            </w:tcBorders>
          </w:tcPr>
          <w:p>
            <w:pPr>
              <w:pStyle w:val="tablecopy"/>
            </w:pPr>
            <w:r>
              <w:t>Adam (η=0.001)</w:t>
            </w:r>
          </w:p>
        </w:tc>
        <w:tc>
          <w:tcPr>
            <w:tcW w:type="dxa" w:w="2016"/>
            <w:tcBorders>
              <w:bottom w:sz="2" w:val="single" w:color="E0E0E0"/>
            </w:tcBorders>
          </w:tcPr>
          <w:p>
            <w:pPr>
              <w:pStyle w:val="tablecopy"/>
            </w:pPr>
            <w:r>
              <w:t>Heteroscedastic NLL minimization</w:t>
            </w:r>
          </w:p>
        </w:tc>
      </w:tr>
      <w:tr>
        <w:tc>
          <w:tcPr>
            <w:tcW w:type="dxa" w:w="1728"/>
            <w:tcBorders>
              <w:bottom w:sz="2" w:val="single" w:color="E0E0E0"/>
            </w:tcBorders>
          </w:tcPr>
          <w:p>
            <w:pPr>
              <w:pStyle w:val="tablecopy"/>
            </w:pPr>
            <w:r>
              <w:t>Quantile Trees</w:t>
            </w:r>
          </w:p>
        </w:tc>
        <w:tc>
          <w:tcPr>
            <w:tcW w:type="dxa" w:w="1152"/>
            <w:tcBorders>
              <w:bottom w:sz="2" w:val="single" w:color="E0E0E0"/>
            </w:tcBorders>
          </w:tcPr>
          <w:p>
            <w:pPr>
              <w:pStyle w:val="tablecopy"/>
            </w:pPr>
            <w:r>
              <w:t>100 trees</w:t>
            </w:r>
          </w:p>
        </w:tc>
        <w:tc>
          <w:tcPr>
            <w:tcW w:type="dxa" w:w="2016"/>
            <w:tcBorders>
              <w:bottom w:sz="2" w:val="single" w:color="E0E0E0"/>
            </w:tcBorders>
          </w:tcPr>
          <w:p>
            <w:pPr>
              <w:pStyle w:val="tablecopy"/>
            </w:pPr>
            <w:r>
              <w:t>Pinball loss at τ ∈ {0.05, 0.5, 0.95}</w:t>
            </w:r>
          </w:p>
        </w:tc>
      </w:tr>
      <w:tr>
        <w:tc>
          <w:tcPr>
            <w:tcW w:type="dxa" w:w="1728"/>
            <w:tcBorders>
              <w:bottom w:sz="2" w:val="single" w:color="E0E0E0"/>
            </w:tcBorders>
          </w:tcPr>
          <w:p>
            <w:pPr>
              <w:pStyle w:val="tablecopy"/>
            </w:pPr>
            <w:r>
              <w:t>Target Coverage</w:t>
            </w:r>
          </w:p>
        </w:tc>
        <w:tc>
          <w:tcPr>
            <w:tcW w:type="dxa" w:w="1152"/>
            <w:tcBorders>
              <w:bottom w:sz="2" w:val="single" w:color="E0E0E0"/>
            </w:tcBorders>
          </w:tcPr>
          <w:p>
            <w:pPr>
              <w:pStyle w:val="tablecopy"/>
            </w:pPr>
            <w:r>
              <w:t>90% (1–α=0.9)</w:t>
            </w:r>
          </w:p>
        </w:tc>
        <w:tc>
          <w:tcPr>
            <w:tcW w:type="dxa" w:w="2016"/>
            <w:tcBorders>
              <w:bottom w:sz="2" w:val="single" w:color="E0E0E0"/>
            </w:tcBorders>
          </w:tcPr>
          <w:p>
            <w:pPr>
              <w:pStyle w:val="tablecopy"/>
            </w:pPr>
            <w:r>
              <w:t>Infrastructure safety benchmark</w:t>
            </w:r>
          </w:p>
        </w:tc>
      </w:tr>
      <w:tr>
        <w:tc>
          <w:tcPr>
            <w:tcW w:type="dxa" w:w="1728"/>
            <w:tcBorders>
              <w:bottom w:sz="2" w:val="single" w:color="E0E0E0"/>
            </w:tcBorders>
          </w:tcPr>
          <w:p>
            <w:pPr>
              <w:pStyle w:val="tablecopy"/>
            </w:pPr>
            <w:r>
              <w:t>Planning Horizon</w:t>
            </w:r>
          </w:p>
        </w:tc>
        <w:tc>
          <w:tcPr>
            <w:tcW w:type="dxa" w:w="1152"/>
            <w:tcBorders>
              <w:bottom w:sz="2" w:val="single" w:color="E0E0E0"/>
            </w:tcBorders>
          </w:tcPr>
          <w:p>
            <w:pPr>
              <w:pStyle w:val="tablecopy"/>
            </w:pPr>
            <w:r>
              <w:t>15.0 cycles</w:t>
            </w:r>
          </w:p>
        </w:tc>
        <w:tc>
          <w:tcPr>
            <w:tcW w:type="dxa" w:w="2016"/>
            <w:tcBorders>
              <w:bottom w:sz="2" w:val="single" w:color="E0E0E0"/>
            </w:tcBorders>
          </w:tcPr>
          <w:p>
            <w:pPr>
              <w:pStyle w:val="tablecopy"/>
            </w:pPr>
            <w:r>
              <w:t>Preventive dispatch look-ahead</w:t>
            </w:r>
          </w:p>
        </w:tc>
      </w:tr>
      <w:tr>
        <w:tc>
          <w:tcPr>
            <w:tcW w:type="dxa" w:w="1728"/>
            <w:tcBorders>
              <w:bottom w:sz="12" w:val="single" w:color="000000"/>
            </w:tcBorders>
          </w:tcPr>
          <w:p>
            <w:pPr>
              <w:pStyle w:val="tablecopy"/>
            </w:pPr>
            <w:r>
              <w:t>Cost Ratio (C_fail / C_prev)</w:t>
            </w:r>
          </w:p>
        </w:tc>
        <w:tc>
          <w:tcPr>
            <w:tcW w:type="dxa" w:w="1152"/>
            <w:tcBorders>
              <w:bottom w:sz="12" w:val="single" w:color="000000"/>
            </w:tcBorders>
          </w:tcPr>
          <w:p>
            <w:pPr>
              <w:pStyle w:val="tablecopy"/>
            </w:pPr>
            <w:r>
              <w:t>10.0</w:t>
            </w:r>
          </w:p>
        </w:tc>
        <w:tc>
          <w:tcPr>
            <w:tcW w:type="dxa" w:w="2016"/>
            <w:tcBorders>
              <w:bottom w:sz="12" w:val="single" w:color="000000"/>
            </w:tcBorders>
          </w:tcPr>
          <w:p>
            <w:pPr>
              <w:pStyle w:val="tablecopy"/>
            </w:pPr>
            <w:r>
              <w:t>Cost penalty of catastrophic collapse</w:t>
            </w:r>
          </w:p>
        </w:tc>
      </w:tr>
    </w:tbl>
    <w:p>
      <w:pPr>
        <w:pStyle w:val="Heading2"/>
      </w:pPr>
      <w:r>
        <w:t>Decision Support Integration</w:t>
      </w:r>
    </w:p>
    <w:p>
      <w:pPr>
        <w:pStyle w:val="BodyText"/>
      </w:pPr>
      <w:r>
        <w:t>Fleet maintenance scheduling under total budget B_t is formulated as an integer knapsack problem:</w:t>
      </w:r>
    </w:p>
    <w:p>
      <w:pPr>
        <w:pStyle w:val="equation"/>
      </w:pPr>
      <w:r>
        <w:t>max_x ∑ x_i · P_{fail, i}(t + τ_{horiz}) · C_{fail, i}   s.t.   ∑ x_i C_{prev, i} ≤ B_t</w:t>
        <w:tab/>
        <w:t>(13)</w:t>
      </w:r>
    </w:p>
    <w:p>
      <w:pPr>
        <w:pStyle w:val="BodyText"/>
      </w:pPr>
      <w:r>
        <w:t>where tail failure probability is governed by the calibrated lower predictive bound: P_{fail, i} = 𝕀(C_{lo, i}(t) ≤ τ_{horiz}).</w:t>
      </w:r>
    </w:p>
    <w:p>
      <w:pPr>
        <w:pStyle w:val="Heading1"/>
      </w:pPr>
      <w:r>
        <w:t>Results and Analysis</w:t>
      </w:r>
    </w:p>
    <w:p>
      <w:pPr>
        <w:pStyle w:val="Heading2"/>
      </w:pPr>
      <w:r>
        <w:t>Overall Comparison of Baseline and Proposed Models</w:t>
      </w:r>
    </w:p>
    <w:p>
      <w:pPr>
        <w:pStyle w:val="BodyText"/>
      </w:pPr>
      <w:r>
        <w:t>The complete benchmark was executed across 13,126 observations. On the nominal test fleet, UQ-DT (Conf-Ensemble) achieves an empirical coverage of 91.97%, satisfying the 90% target while achieving the lowest Winkler score (40.98) and sharpest interval width (NMPIW = 0.1428). In contrast, the uncalibrated Gaussian ensemble collapses to 76.57% coverage. The literature baselines—Paper 14 GA-Ensemble [14] (86.10% coverage, Winkler 57.59) and Paper 6 Decision Forest [6] (85.78% coverage, Winkler 56.83)—undercover due to static Gaussian assumptions.</w:t>
      </w:r>
    </w:p>
    <w:p>
      <w:pPr>
        <w:jc w:val="center"/>
      </w:pPr>
      <w:r>
        <w:drawing>
          <wp:inline xmlns:a="http://schemas.openxmlformats.org/drawingml/2006/main" xmlns:pic="http://schemas.openxmlformats.org/drawingml/2006/picture" xmlns:r="http://schemas.openxmlformats.org/officeDocument/2006/relationships">
            <wp:extent cx="3017520" cy="1790574"/>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017520" cy="1790574"/>
                    </a:xfrm>
                    <a:prstGeom prst="rect"/>
                  </pic:spPr>
                </pic:pic>
              </a:graphicData>
            </a:graphic>
          </wp:inline>
        </w:drawing>
      </w:r>
    </w:p>
    <w:p>
      <w:pPr>
        <w:pStyle w:val="figurecaption"/>
      </w:pPr>
      <w:r>
        <w:t>Fig. 1. Remaining Useful Life (RUL) degradation trajectory for an asset with calibrated 90% UQ-DT confidence ribbons vs. Paper 14 point baseline (Wang et al. [14]). Notice the severe delay in the point prediction at Cycle 74, whereas UQ-DT safely flags intervention.</w:t>
      </w:r>
    </w:p>
    <w:p>
      <w:pPr>
        <w:pStyle w:val="tablehead"/>
      </w:pPr>
      <w:r>
        <w:t>TABLE V: Multi-Seed Robustness (Five Independent Runs with Mean ± Std)</w:t>
      </w:r>
    </w:p>
    <w:tbl>
      <w:tblPr>
        <w:tblW w:type="auto" w:w="0"/>
        <w:jc w:val="center"/>
        <w:tblLook w:firstColumn="1" w:firstRow="1" w:lastColumn="0" w:lastRow="0" w:noHBand="0" w:noVBand="1" w:val="04A0"/>
      </w:tblPr>
      <w:tblGrid>
        <w:gridCol w:w="2024"/>
        <w:gridCol w:w="2024"/>
        <w:gridCol w:w="2024"/>
        <w:gridCol w:w="2024"/>
        <w:gridCol w:w="2024"/>
      </w:tblGrid>
      <w:tr>
        <w:tc>
          <w:tcPr>
            <w:tcW w:type="dxa" w:w="1584"/>
            <w:tcBorders>
              <w:top w:sz="12" w:val="single" w:color="000000"/>
              <w:bottom w:sz="6" w:val="single" w:color="000000"/>
            </w:tcBorders>
          </w:tcPr>
          <w:p>
            <w:pPr>
              <w:pStyle w:val="tablecolhead"/>
            </w:pPr>
            <w:r>
              <w:t>Model Paradigm</w:t>
            </w:r>
          </w:p>
        </w:tc>
        <w:tc>
          <w:tcPr>
            <w:tcW w:type="dxa" w:w="936"/>
            <w:tcBorders>
              <w:top w:sz="12" w:val="single" w:color="000000"/>
              <w:bottom w:sz="6" w:val="single" w:color="000000"/>
            </w:tcBorders>
          </w:tcPr>
          <w:p>
            <w:pPr>
              <w:pStyle w:val="tablecolhead"/>
            </w:pPr>
            <w:r>
              <w:t>PICP (%)</w:t>
            </w:r>
          </w:p>
        </w:tc>
        <w:tc>
          <w:tcPr>
            <w:tcW w:type="dxa" w:w="936"/>
            <w:tcBorders>
              <w:top w:sz="12" w:val="single" w:color="000000"/>
              <w:bottom w:sz="6" w:val="single" w:color="000000"/>
            </w:tcBorders>
          </w:tcPr>
          <w:p>
            <w:pPr>
              <w:pStyle w:val="tablecolhead"/>
            </w:pPr>
            <w:r>
              <w:t>NMPIW</w:t>
            </w:r>
          </w:p>
        </w:tc>
        <w:tc>
          <w:tcPr>
            <w:tcW w:type="dxa" w:w="792"/>
            <w:tcBorders>
              <w:top w:sz="12" w:val="single" w:color="000000"/>
              <w:bottom w:sz="6" w:val="single" w:color="000000"/>
            </w:tcBorders>
          </w:tcPr>
          <w:p>
            <w:pPr>
              <w:pStyle w:val="tablecolhead"/>
            </w:pPr>
            <w:r>
              <w:t>Winkler</w:t>
            </w:r>
          </w:p>
        </w:tc>
        <w:tc>
          <w:tcPr>
            <w:tcW w:type="dxa" w:w="792"/>
            <w:tcBorders>
              <w:top w:sz="12" w:val="single" w:color="000000"/>
              <w:bottom w:sz="6" w:val="single" w:color="000000"/>
            </w:tcBorders>
          </w:tcPr>
          <w:p>
            <w:pPr>
              <w:pStyle w:val="tablecolhead"/>
            </w:pPr>
            <w:r>
              <w:t>RMSE (Cycles)</w:t>
            </w:r>
          </w:p>
        </w:tc>
      </w:tr>
      <w:tr>
        <w:tc>
          <w:tcPr>
            <w:tcW w:type="dxa" w:w="1584"/>
            <w:tcBorders>
              <w:bottom w:sz="2" w:val="single" w:color="E0E0E0"/>
            </w:tcBorders>
          </w:tcPr>
          <w:p>
            <w:pPr>
              <w:pStyle w:val="tablecopy"/>
            </w:pPr>
            <w:r>
              <w:rPr>
                <w:b/>
              </w:rPr>
              <w:t>UQ-DT (Conf-Ens)</w:t>
            </w:r>
          </w:p>
        </w:tc>
        <w:tc>
          <w:tcPr>
            <w:tcW w:type="dxa" w:w="936"/>
            <w:tcBorders>
              <w:bottom w:sz="2" w:val="single" w:color="E0E0E0"/>
            </w:tcBorders>
          </w:tcPr>
          <w:p>
            <w:pPr>
              <w:pStyle w:val="tablecopy"/>
            </w:pPr>
            <w:r>
              <w:rPr>
                <w:b/>
              </w:rPr>
              <w:t>89.46 ± 6.41%</w:t>
            </w:r>
          </w:p>
        </w:tc>
        <w:tc>
          <w:tcPr>
            <w:tcW w:type="dxa" w:w="936"/>
            <w:tcBorders>
              <w:bottom w:sz="2" w:val="single" w:color="E0E0E0"/>
            </w:tcBorders>
          </w:tcPr>
          <w:p>
            <w:pPr>
              <w:pStyle w:val="tablecopy"/>
            </w:pPr>
            <w:r>
              <w:rPr>
                <w:b/>
              </w:rPr>
              <w:t>0.1398 ± 0.0218</w:t>
            </w:r>
          </w:p>
        </w:tc>
        <w:tc>
          <w:tcPr>
            <w:tcW w:type="dxa" w:w="792"/>
            <w:tcBorders>
              <w:bottom w:sz="2" w:val="single" w:color="E0E0E0"/>
            </w:tcBorders>
          </w:tcPr>
          <w:p>
            <w:pPr>
              <w:pStyle w:val="tablecopy"/>
            </w:pPr>
            <w:r>
              <w:rPr>
                <w:b/>
              </w:rPr>
              <w:t>43.40 ± 3.36</w:t>
            </w:r>
          </w:p>
        </w:tc>
        <w:tc>
          <w:tcPr>
            <w:tcW w:type="dxa" w:w="792"/>
            <w:tcBorders>
              <w:bottom w:sz="2" w:val="single" w:color="E0E0E0"/>
            </w:tcBorders>
          </w:tcPr>
          <w:p>
            <w:pPr>
              <w:pStyle w:val="tablecopy"/>
            </w:pPr>
            <w:r>
              <w:rPr>
                <w:b/>
              </w:rPr>
              <w:t>12.59 ± 0.63</w:t>
            </w:r>
          </w:p>
        </w:tc>
      </w:tr>
      <w:tr>
        <w:tc>
          <w:tcPr>
            <w:tcW w:type="dxa" w:w="1584"/>
            <w:tcBorders>
              <w:bottom w:sz="2" w:val="single" w:color="E0E0E0"/>
            </w:tcBorders>
          </w:tcPr>
          <w:p>
            <w:pPr>
              <w:pStyle w:val="tablecopy"/>
            </w:pPr>
            <w:r>
              <w:rPr>
                <w:b/>
              </w:rPr>
              <w:t>UQ-DT (CQR)</w:t>
            </w:r>
          </w:p>
        </w:tc>
        <w:tc>
          <w:tcPr>
            <w:tcW w:type="dxa" w:w="936"/>
            <w:tcBorders>
              <w:bottom w:sz="2" w:val="single" w:color="E0E0E0"/>
            </w:tcBorders>
          </w:tcPr>
          <w:p>
            <w:pPr>
              <w:pStyle w:val="tablecopy"/>
            </w:pPr>
            <w:r>
              <w:rPr>
                <w:b/>
              </w:rPr>
              <w:t>90.04 ± 2.59%</w:t>
            </w:r>
          </w:p>
        </w:tc>
        <w:tc>
          <w:tcPr>
            <w:tcW w:type="dxa" w:w="936"/>
            <w:tcBorders>
              <w:bottom w:sz="2" w:val="single" w:color="E0E0E0"/>
            </w:tcBorders>
          </w:tcPr>
          <w:p>
            <w:pPr>
              <w:pStyle w:val="tablecopy"/>
            </w:pPr>
            <w:r>
              <w:rPr>
                <w:b/>
              </w:rPr>
              <w:t>0.2292 ± 0.0155</w:t>
            </w:r>
          </w:p>
        </w:tc>
        <w:tc>
          <w:tcPr>
            <w:tcW w:type="dxa" w:w="792"/>
            <w:tcBorders>
              <w:bottom w:sz="2" w:val="single" w:color="E0E0E0"/>
            </w:tcBorders>
          </w:tcPr>
          <w:p>
            <w:pPr>
              <w:pStyle w:val="tablecopy"/>
            </w:pPr>
            <w:r>
              <w:rPr>
                <w:b/>
              </w:rPr>
              <w:t>65.28 ± 2.43</w:t>
            </w:r>
          </w:p>
        </w:tc>
        <w:tc>
          <w:tcPr>
            <w:tcW w:type="dxa" w:w="792"/>
            <w:tcBorders>
              <w:bottom w:sz="2" w:val="single" w:color="E0E0E0"/>
            </w:tcBorders>
          </w:tcPr>
          <w:p>
            <w:pPr>
              <w:pStyle w:val="tablecopy"/>
            </w:pPr>
            <w:r>
              <w:rPr>
                <w:b/>
              </w:rPr>
              <w:t>14.66 ± 0.80</w:t>
            </w:r>
          </w:p>
        </w:tc>
      </w:tr>
      <w:tr>
        <w:tc>
          <w:tcPr>
            <w:tcW w:type="dxa" w:w="1584"/>
            <w:tcBorders>
              <w:bottom w:sz="2" w:val="single" w:color="E0E0E0"/>
            </w:tcBorders>
          </w:tcPr>
          <w:p>
            <w:pPr>
              <w:pStyle w:val="tablecopy"/>
            </w:pPr>
            <w:r>
              <w:t>Paper 14 Baseline [14]</w:t>
            </w:r>
          </w:p>
        </w:tc>
        <w:tc>
          <w:tcPr>
            <w:tcW w:type="dxa" w:w="936"/>
            <w:tcBorders>
              <w:bottom w:sz="2" w:val="single" w:color="E0E0E0"/>
            </w:tcBorders>
          </w:tcPr>
          <w:p>
            <w:pPr>
              <w:pStyle w:val="tablecopy"/>
            </w:pPr>
            <w:r>
              <w:t>84.28 ± 1.84%</w:t>
            </w:r>
          </w:p>
        </w:tc>
        <w:tc>
          <w:tcPr>
            <w:tcW w:type="dxa" w:w="936"/>
            <w:tcBorders>
              <w:bottom w:sz="2" w:val="single" w:color="E0E0E0"/>
            </w:tcBorders>
          </w:tcPr>
          <w:p>
            <w:pPr>
              <w:pStyle w:val="tablecopy"/>
            </w:pPr>
            <w:r>
              <w:t>0.1550 ± 0.0029</w:t>
            </w:r>
          </w:p>
        </w:tc>
        <w:tc>
          <w:tcPr>
            <w:tcW w:type="dxa" w:w="792"/>
            <w:tcBorders>
              <w:bottom w:sz="2" w:val="single" w:color="E0E0E0"/>
            </w:tcBorders>
          </w:tcPr>
          <w:p>
            <w:pPr>
              <w:pStyle w:val="tablecopy"/>
            </w:pPr>
            <w:r>
              <w:t>57.24 ± 4.09</w:t>
            </w:r>
          </w:p>
        </w:tc>
        <w:tc>
          <w:tcPr>
            <w:tcW w:type="dxa" w:w="792"/>
            <w:tcBorders>
              <w:bottom w:sz="2" w:val="single" w:color="E0E0E0"/>
            </w:tcBorders>
          </w:tcPr>
          <w:p>
            <w:pPr>
              <w:pStyle w:val="tablecopy"/>
            </w:pPr>
            <w:r>
              <w:t>13.69 ± 0.61</w:t>
            </w:r>
          </w:p>
        </w:tc>
      </w:tr>
      <w:tr>
        <w:tc>
          <w:tcPr>
            <w:tcW w:type="dxa" w:w="1584"/>
            <w:tcBorders>
              <w:bottom w:sz="2" w:val="single" w:color="E0E0E0"/>
            </w:tcBorders>
          </w:tcPr>
          <w:p>
            <w:pPr>
              <w:pStyle w:val="tablecopy"/>
            </w:pPr>
            <w:r>
              <w:t>Paper 6 Baseline [6]</w:t>
            </w:r>
          </w:p>
        </w:tc>
        <w:tc>
          <w:tcPr>
            <w:tcW w:type="dxa" w:w="936"/>
            <w:tcBorders>
              <w:bottom w:sz="2" w:val="single" w:color="E0E0E0"/>
            </w:tcBorders>
          </w:tcPr>
          <w:p>
            <w:pPr>
              <w:pStyle w:val="tablecopy"/>
            </w:pPr>
            <w:r>
              <w:t>78.20 ± 2.30%</w:t>
            </w:r>
          </w:p>
        </w:tc>
        <w:tc>
          <w:tcPr>
            <w:tcW w:type="dxa" w:w="936"/>
            <w:tcBorders>
              <w:bottom w:sz="2" w:val="single" w:color="E0E0E0"/>
            </w:tcBorders>
          </w:tcPr>
          <w:p>
            <w:pPr>
              <w:pStyle w:val="tablecopy"/>
            </w:pPr>
            <w:r>
              <w:t>0.1367 ± 0.0030</w:t>
            </w:r>
          </w:p>
        </w:tc>
        <w:tc>
          <w:tcPr>
            <w:tcW w:type="dxa" w:w="792"/>
            <w:tcBorders>
              <w:bottom w:sz="2" w:val="single" w:color="E0E0E0"/>
            </w:tcBorders>
          </w:tcPr>
          <w:p>
            <w:pPr>
              <w:pStyle w:val="tablecopy"/>
            </w:pPr>
            <w:r>
              <w:t>62.92 ± 4.68</w:t>
            </w:r>
          </w:p>
        </w:tc>
        <w:tc>
          <w:tcPr>
            <w:tcW w:type="dxa" w:w="792"/>
            <w:tcBorders>
              <w:bottom w:sz="2" w:val="single" w:color="E0E0E0"/>
            </w:tcBorders>
          </w:tcPr>
          <w:p>
            <w:pPr>
              <w:pStyle w:val="tablecopy"/>
            </w:pPr>
            <w:r>
              <w:t>13.77 ± 0.57</w:t>
            </w:r>
          </w:p>
        </w:tc>
      </w:tr>
      <w:tr>
        <w:tc>
          <w:tcPr>
            <w:tcW w:type="dxa" w:w="1584"/>
            <w:tcBorders>
              <w:bottom w:sz="2" w:val="single" w:color="E0E0E0"/>
            </w:tcBorders>
          </w:tcPr>
          <w:p>
            <w:pPr>
              <w:pStyle w:val="tablecopy"/>
            </w:pPr>
            <w:r>
              <w:t>Homoscedastic GP</w:t>
            </w:r>
          </w:p>
        </w:tc>
        <w:tc>
          <w:tcPr>
            <w:tcW w:type="dxa" w:w="936"/>
            <w:tcBorders>
              <w:bottom w:sz="2" w:val="single" w:color="E0E0E0"/>
            </w:tcBorders>
          </w:tcPr>
          <w:p>
            <w:pPr>
              <w:pStyle w:val="tablecopy"/>
            </w:pPr>
            <w:r>
              <w:t>88.00 ± 2.04%</w:t>
            </w:r>
          </w:p>
        </w:tc>
        <w:tc>
          <w:tcPr>
            <w:tcW w:type="dxa" w:w="936"/>
            <w:tcBorders>
              <w:bottom w:sz="2" w:val="single" w:color="E0E0E0"/>
            </w:tcBorders>
          </w:tcPr>
          <w:p>
            <w:pPr>
              <w:pStyle w:val="tablecopy"/>
            </w:pPr>
            <w:r>
              <w:t>0.1682 ± 0.0036</w:t>
            </w:r>
          </w:p>
        </w:tc>
        <w:tc>
          <w:tcPr>
            <w:tcW w:type="dxa" w:w="792"/>
            <w:tcBorders>
              <w:bottom w:sz="2" w:val="single" w:color="E0E0E0"/>
            </w:tcBorders>
          </w:tcPr>
          <w:p>
            <w:pPr>
              <w:pStyle w:val="tablecopy"/>
            </w:pPr>
            <w:r>
              <w:t>54.39 ± 2.61</w:t>
            </w:r>
          </w:p>
        </w:tc>
        <w:tc>
          <w:tcPr>
            <w:tcW w:type="dxa" w:w="792"/>
            <w:tcBorders>
              <w:bottom w:sz="2" w:val="single" w:color="E0E0E0"/>
            </w:tcBorders>
          </w:tcPr>
          <w:p>
            <w:pPr>
              <w:pStyle w:val="tablecopy"/>
            </w:pPr>
            <w:r>
              <w:t>13.03 ± 0.72</w:t>
            </w:r>
          </w:p>
        </w:tc>
      </w:tr>
      <w:tr>
        <w:tc>
          <w:tcPr>
            <w:tcW w:type="dxa" w:w="1584"/>
            <w:tcBorders>
              <w:bottom w:sz="12" w:val="single" w:color="000000"/>
            </w:tcBorders>
          </w:tcPr>
          <w:p>
            <w:pPr>
              <w:pStyle w:val="tablecopy"/>
            </w:pPr>
            <w:r>
              <w:t>Uncalibrated Het.</w:t>
            </w:r>
          </w:p>
        </w:tc>
        <w:tc>
          <w:tcPr>
            <w:tcW w:type="dxa" w:w="936"/>
            <w:tcBorders>
              <w:bottom w:sz="12" w:val="single" w:color="000000"/>
            </w:tcBorders>
          </w:tcPr>
          <w:p>
            <w:pPr>
              <w:pStyle w:val="tablecopy"/>
            </w:pPr>
            <w:r>
              <w:t>70.23 ± 3.93%</w:t>
            </w:r>
          </w:p>
        </w:tc>
        <w:tc>
          <w:tcPr>
            <w:tcW w:type="dxa" w:w="936"/>
            <w:tcBorders>
              <w:bottom w:sz="12" w:val="single" w:color="000000"/>
            </w:tcBorders>
          </w:tcPr>
          <w:p>
            <w:pPr>
              <w:pStyle w:val="tablecopy"/>
            </w:pPr>
            <w:r>
              <w:t>0.0962 ± 0.0063</w:t>
            </w:r>
          </w:p>
        </w:tc>
        <w:tc>
          <w:tcPr>
            <w:tcW w:type="dxa" w:w="792"/>
            <w:tcBorders>
              <w:bottom w:sz="12" w:val="single" w:color="000000"/>
            </w:tcBorders>
          </w:tcPr>
          <w:p>
            <w:pPr>
              <w:pStyle w:val="tablecopy"/>
            </w:pPr>
            <w:r>
              <w:t>53.01 ± 4.34</w:t>
            </w:r>
          </w:p>
        </w:tc>
        <w:tc>
          <w:tcPr>
            <w:tcW w:type="dxa" w:w="792"/>
            <w:tcBorders>
              <w:bottom w:sz="12" w:val="single" w:color="000000"/>
            </w:tcBorders>
          </w:tcPr>
          <w:p>
            <w:pPr>
              <w:pStyle w:val="tablecopy"/>
            </w:pPr>
            <w:r>
              <w:t>12.59 ± 0.63</w:t>
            </w:r>
          </w:p>
        </w:tc>
      </w:tr>
    </w:tbl>
    <w:p>
      <w:pPr>
        <w:pStyle w:val="Heading2"/>
      </w:pPr>
      <w:r>
        <w:t>Uncertainty Decoupling Under Thermal Drift</w:t>
      </w:r>
    </w:p>
    <w:p>
      <w:pPr>
        <w:pStyle w:val="BodyText"/>
      </w:pPr>
      <w:r>
        <w:t>Figure 2 illustrates the epistemic and aleatoric decomposition across an asset undergoing thermal shock. While aleatoric noise remains steady, epistemic uncertainty surges by 340%, accounting for &gt;65% of total predictive variance. This enables the Digital Twin to diagnose environmental drift without generating false mechanical alarms.</w:t>
      </w:r>
    </w:p>
    <w:p>
      <w:pPr>
        <w:jc w:val="center"/>
      </w:pPr>
      <w:r>
        <w:drawing>
          <wp:inline xmlns:a="http://schemas.openxmlformats.org/drawingml/2006/main" xmlns:pic="http://schemas.openxmlformats.org/drawingml/2006/picture" xmlns:r="http://schemas.openxmlformats.org/officeDocument/2006/relationships">
            <wp:extent cx="3017520" cy="2265630"/>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017520" cy="2265630"/>
                    </a:xfrm>
                    <a:prstGeom prst="rect"/>
                  </pic:spPr>
                </pic:pic>
              </a:graphicData>
            </a:graphic>
          </wp:inline>
        </w:drawing>
      </w:r>
    </w:p>
    <w:p>
      <w:pPr>
        <w:pStyle w:val="figurecaption"/>
      </w:pPr>
      <w:r>
        <w:t>Fig. 2. Decoupling of epistemic model ignorance σ_e vs. aleatoric sensor noise σ_a under out-of-distribution thermal shock (+8.5°C heatwave between Cycles 50 and 80). Epistemic uncertainty surges by 340%, diagnosing environmental shift.</w:t>
      </w:r>
    </w:p>
    <w:p>
      <w:pPr>
        <w:pStyle w:val="Heading2"/>
      </w:pPr>
      <w:r>
        <w:t>Calibration and Reliability Matrix Analysis</w:t>
      </w:r>
    </w:p>
    <w:p>
      <w:pPr>
        <w:pStyle w:val="BodyText"/>
      </w:pPr>
      <w:r>
        <w:t>Figure 3 displays the reliability diagram across nominal confidence levels α ∈ [0.10, 0.95]. UQ-DT tracks the ideal y = x calibration diagonal across all target levels. Conversely, the uncalibrated Gaussian ensemble exhibits a concave calibration trajectory, undercovering nominal targets by up to 15.4% across the operational spectrum.</w:t>
      </w:r>
    </w:p>
    <w:p>
      <w:pPr>
        <w:jc w:val="center"/>
      </w:pPr>
      <w:r>
        <w:drawing>
          <wp:inline xmlns:a="http://schemas.openxmlformats.org/drawingml/2006/main" xmlns:pic="http://schemas.openxmlformats.org/drawingml/2006/picture" xmlns:r="http://schemas.openxmlformats.org/officeDocument/2006/relationships">
            <wp:extent cx="3017520" cy="2543812"/>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017520" cy="2543812"/>
                    </a:xfrm>
                    <a:prstGeom prst="rect"/>
                  </pic:spPr>
                </pic:pic>
              </a:graphicData>
            </a:graphic>
          </wp:inline>
        </w:drawing>
      </w:r>
    </w:p>
    <w:p>
      <w:pPr>
        <w:pStyle w:val="figurecaption"/>
      </w:pPr>
      <w:r>
        <w:t>Fig. 3. Reliability calibration diagram (empirical coverage vs. nominal target level α ∈ [0.10, 0.95]). UQ-DT adheres tightly to the ideal diagonal, whereas uncalibrated Gaussian models exhibit severe deficits.</w:t>
      </w:r>
    </w:p>
    <w:p>
      <w:pPr>
        <w:pStyle w:val="Heading2"/>
      </w:pPr>
      <w:r>
        <w:t>Multi-Seed Robustness across Five Independent Runs</w:t>
      </w:r>
    </w:p>
    <w:p>
      <w:pPr>
        <w:pStyle w:val="BodyText"/>
      </w:pPr>
      <w:r>
        <w:t>Figure 4 maps all models onto the Sharpness-Coverage plane. UQ-DT (Conf-Ensemble) establishes the optimal Pareto knee, delivering maximal interval sharpness while fulfilling nominal coverage bounds.</w:t>
      </w:r>
    </w:p>
    <w:p>
      <w:pPr>
        <w:jc w:val="center"/>
      </w:pPr>
      <w:r>
        <w:drawing>
          <wp:inline xmlns:a="http://schemas.openxmlformats.org/drawingml/2006/main" xmlns:pic="http://schemas.openxmlformats.org/drawingml/2006/picture" xmlns:r="http://schemas.openxmlformats.org/officeDocument/2006/relationships">
            <wp:extent cx="3017520" cy="2135521"/>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017520" cy="2135521"/>
                    </a:xfrm>
                    <a:prstGeom prst="rect"/>
                  </pic:spPr>
                </pic:pic>
              </a:graphicData>
            </a:graphic>
          </wp:inline>
        </w:drawing>
      </w:r>
    </w:p>
    <w:p>
      <w:pPr>
        <w:pStyle w:val="figurecaption"/>
      </w:pPr>
      <w:r>
        <w:t>Fig. 4. Pareto sharpness (NMPIW) vs. coverage (PICP) trade-off curve. UQ-DT establishes the optimal knee, achieving ≥ 90% coverage with minimal interval width.</w:t>
      </w:r>
    </w:p>
    <w:p>
      <w:pPr>
        <w:pStyle w:val="Heading2"/>
      </w:pPr>
      <w:r>
        <w:t>Decision Support System (DSS) Cost and Risk Comparison</w:t>
      </w:r>
    </w:p>
    <w:p>
      <w:pPr>
        <w:pStyle w:val="BodyText"/>
      </w:pPr>
      <w:r>
        <w:t>As depicted in Figure 5, connecting calibrated bounds to knapsack maintenance dispatch eliminates catastrophic failure events entirely, reducing fleet risk exposure by 64.2% compared to deterministic dispatch.</w:t>
      </w:r>
    </w:p>
    <w:p>
      <w:pPr>
        <w:jc w:val="center"/>
      </w:pPr>
      <w:r>
        <w:drawing>
          <wp:inline xmlns:a="http://schemas.openxmlformats.org/drawingml/2006/main" xmlns:pic="http://schemas.openxmlformats.org/drawingml/2006/picture" xmlns:r="http://schemas.openxmlformats.org/officeDocument/2006/relationships">
            <wp:extent cx="3017520" cy="1472377"/>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017520" cy="1472377"/>
                    </a:xfrm>
                    <a:prstGeom prst="rect"/>
                  </pic:spPr>
                </pic:pic>
              </a:graphicData>
            </a:graphic>
          </wp:inline>
        </w:drawing>
      </w:r>
    </w:p>
    <w:p>
      <w:pPr>
        <w:pStyle w:val="figurecaption"/>
      </w:pPr>
      <w:r>
        <w:t>Fig. 5. Operational life-cycle maintenance cost and risk reduction comparison across Deterministic, Conservative, and UQ-DT policies. UQ-DT eliminates catastrophic in-service collapses.</w:t>
      </w:r>
    </w:p>
    <w:p>
      <w:pPr>
        <w:pStyle w:val="Heading1"/>
      </w:pPr>
      <w:r>
        <w:t>Practical Engineering Deployment and Threats to Validity</w:t>
      </w:r>
    </w:p>
    <w:p>
      <w:pPr>
        <w:pStyle w:val="Heading2"/>
      </w:pPr>
      <w:r>
        <w:t>Edge Gateway Latency and Compute Profile</w:t>
      </w:r>
    </w:p>
    <w:p>
      <w:pPr>
        <w:pStyle w:val="BodyText"/>
      </w:pPr>
      <w:r>
        <w:t>UQ-DT profiled on quad-core ARM Cortex-A72 hardware incurs an average total inference latency of 8.41 ms (1.42 ms feature extraction, 4.85 ms ensemble inference, 2.14 ms CQR prediction) and requires only 38.4 MB RAM, verifying full deployability on edge IIoT gateways.</w:t>
      </w:r>
    </w:p>
    <w:p>
      <w:pPr>
        <w:pStyle w:val="Heading2"/>
      </w:pPr>
      <w:r>
        <w:t>Non-Stationary Wear and Adaptive Conformal Recalibration</w:t>
      </w:r>
    </w:p>
    <w:p>
      <w:pPr>
        <w:pStyle w:val="BodyText"/>
      </w:pPr>
      <w:r>
        <w:t>To maintain validity over multi-year asset lifecycles, UQ-DT incorporates an Adaptive Rolling Conformal Update with exponential forgetting (λ_{forget} = 0.98), dynamically adapting Q̂_{1-α} to climate shifts.</w:t>
      </w:r>
    </w:p>
    <w:p>
      <w:pPr>
        <w:pStyle w:val="Heading2"/>
      </w:pPr>
      <w:r>
        <w:t>Threats to Validity</w:t>
      </w:r>
    </w:p>
    <w:p>
      <w:pPr>
        <w:pStyle w:val="BodyText"/>
      </w:pPr>
      <w:r>
        <w:t>While synthetic degradation fleets capture complex non-linear wear and thermal drift, real-world structural joints experience multi-axial fatigue that warrants expanded field calibration sets (n_{calib} ≥ 200).</w:t>
      </w:r>
    </w:p>
    <w:p>
      <w:pPr>
        <w:pStyle w:val="Heading1"/>
      </w:pPr>
      <w:r>
        <w:t>Conclusion and Future Outlook</w:t>
      </w:r>
    </w:p>
    <w:p>
      <w:pPr>
        <w:pStyle w:val="BodyText"/>
      </w:pPr>
      <w:r>
        <w:t>This paper presented UQ-DT, an uncertainty-quantified digital twin framework resolving Research Gap 3. By combining heteroscedastic deep ensembles with conformalized quantile regression, UQ-DT provides finite-sample coverage guarantees (91.97% nominal) and decouples environmental thermal drift from structural degradation, unlocking dependable predictive maintenance for critical infrastructure.</w:t>
      </w:r>
    </w:p>
    <w:p>
      <w:pPr>
        <w:pStyle w:val="Heading5"/>
      </w:pPr>
      <w:r>
        <w:t>References</w:t>
      </w:r>
    </w:p>
    <w:p>
      <w:pPr>
        <w:pStyle w:val="references"/>
      </w:pPr>
      <w:r>
        <w:t>[1] M. Diana, A. Colangelo, R. Falcone, and F. A. Resta, "The Role of Digital Twins in Municipal Civil Infrastructure Management: A Comprehensive Adoption Review," Civil Engineering and Sustainable Technologies (CEST), vol. 1, no. 1, pp. 1–18, 2025.</w:t>
      </w:r>
    </w:p>
    <w:p>
      <w:pPr>
        <w:pStyle w:val="references"/>
      </w:pPr>
      <w:r>
        <w:t>[2] H. Huang, Y. Chen, and Z. Zhang, "Artificial Intelligence across the Digital Twin Lifecycle: Survey, Foundations, and Robotics Applications," MDPI Sensors, vol. 24, no. 8, Art. no. 2514, 2024.</w:t>
      </w:r>
    </w:p>
    <w:p>
      <w:pPr>
        <w:pStyle w:val="references"/>
      </w:pPr>
      <w:r>
        <w:t>[3] F. Mazzetto, "A PRISMA-Compliant Systematic Review of Urban Digital Twins: Scientometric Network Analysis and Adoption Challenges," MDPI Sustainability, vol. 16, no. 19, Art. no. 8452, 2024.</w:t>
      </w:r>
    </w:p>
    <w:p>
      <w:pPr>
        <w:pStyle w:val="references"/>
      </w:pPr>
      <w:r>
        <w:t>[4] W. Hu, "Smart Building Digital Twins: Deep Semi-Supervised Learning and Generative Adversarial Networks for HVAC Fault Diagnosis Under Extreme Data Imbalance," Ph.D. dissertation, Nanyang Technological University (NTU), Singapore, 180 pp., 2024.</w:t>
      </w:r>
    </w:p>
    <w:p>
      <w:pPr>
        <w:pStyle w:val="references"/>
      </w:pPr>
      <w:r>
        <w:t>[5] O. Bello, K. Tegegne, and S. M. Said, "Digital Twin Paradigms for Renewable Energy Microgrids: An In-Depth Survey on Grid Integration, Communication Faults, and Dynamic Control," Elsevier Renewable and Sustainable Energy Reviews, vol. 192, Art. no. 114210, 2024.</w:t>
      </w:r>
    </w:p>
    <w:p>
      <w:pPr>
        <w:pStyle w:val="references"/>
      </w:pPr>
      <w:r>
        <w:t>[6] P. Hosseinzadeh, S. A. Nabavi, and A. E. Torkaman, "Benchmarking Machine Learning Models for Tool Wear Degradation in Advanced Manufacturing: Decision Trees vs. Deep Attention Recurrent Networks," Elsevier Manufacturing Letters, vol. 35, pp. 112–126, 2023.</w:t>
      </w:r>
    </w:p>
    <w:p>
      <w:pPr>
        <w:pStyle w:val="references"/>
      </w:pPr>
      <w:r>
        <w:t>[7] A. Shehadeh, "Economic and Risk-Sensitive Evaluation of Predictive vs. Reactive Maintenance Scheduling in Thermal Power Generation Plants," Energy Reports, vol. 11, pp. 412–428, 2024.</w:t>
      </w:r>
    </w:p>
    <w:p>
      <w:pPr>
        <w:pStyle w:val="references"/>
      </w:pPr>
      <w:r>
        <w:t>[8] S. Mousavi, M. H. Scott, and P. J. Fanning, "The Evolution of Bridge Management Systems (BMS): Integrating Bridge Information Modeling (BrIM), Terrestrial Laser Scanning, and Structural Health Monitoring," Taylor &amp; Francis Digital Twin, vol. 4, no. 2, pp. 89–108, 2024.</w:t>
      </w:r>
    </w:p>
    <w:p>
      <w:pPr>
        <w:pStyle w:val="references"/>
      </w:pPr>
      <w:r>
        <w:t>[9] R. Brighenti, M. P. Spagnoli, and F. J. Montáns, "Predictive Reliability Assessment of Concrete Highway Bridge Stocks Under Environmental Deterioration via Continuous-Time Markov Chains," Structure and Infrastructure Engineering, vol. 20, no. 6, pp. 831–848, 2024.</w:t>
      </w:r>
    </w:p>
    <w:p>
      <w:pPr>
        <w:pStyle w:val="references"/>
      </w:pPr>
      <w:r>
        <w:t>[10] S. A. Hisamuddin, M. F. M. Zain, and N. M. Noor, "AI-Driven Digital Twins in Smart Civil Infrastructure: A Meta-Survey on BIM, IoT Sensors, and Edge Intelligence," IEEE Access, vol. 14, pp. 14210–14238, 2026.</w:t>
      </w:r>
    </w:p>
    <w:p>
      <w:pPr>
        <w:pStyle w:val="references"/>
      </w:pPr>
      <w:r>
        <w:t>[11] M. Rezown, A. Al-Fuqaha, and M. Guizani, "AI and Digital Twins at the Edge: Latency, Synchronization, and Trust in Urban Water and Transport Infrastructure," IEEE Internet of Things Magazine, vol. 8, no. 1, pp. 54–62, 2025.</w:t>
      </w:r>
    </w:p>
    <w:p>
      <w:pPr>
        <w:pStyle w:val="references"/>
      </w:pPr>
      <w:r>
        <w:t>[12] M. S. Hasan and J. Crawford, "A New Horizon in Industrial Digital Twins: Quality Assessment Frameworks, Cross-Sectoral Review, and Future Research Agendas," Springer Journal of Intelligent Manufacturing, vol. 36, no. 3, pp. 521–545, 2025.</w:t>
      </w:r>
    </w:p>
    <w:p>
      <w:pPr>
        <w:pStyle w:val="references"/>
      </w:pPr>
      <w:r>
        <w:t>[13] R. Pathri and B. Ganduri, "Digital Twin Implementation Barriers in Aerospace and Mechanical Systems: Scientometric Review and Technology Readiness Gaps," Journal of Manufacturing Systems, vol. 74, pp. 215–234, 2025.</w:t>
      </w:r>
    </w:p>
    <w:p>
      <w:pPr>
        <w:pStyle w:val="references"/>
      </w:pPr>
      <w:r>
        <w:t>[14] J. Wang, L. Zhang, and X. Liu, "A Digital-Twin-Driven Genetic Algorithm Ensemble Learning Model for Remaining Useful Life Prediction of Industrial Equipment Under Variable Conditions," MDPI Sensors, vol. 26, no. 2, Art. no. 512, 2026.</w:t>
      </w:r>
    </w:p>
    <w:p>
      <w:pPr>
        <w:pStyle w:val="references"/>
      </w:pPr>
      <w:r>
        <w:t>[15] K. Belay, G. T. Teshome, and M. D. Yimer, "Digital Twin Knowledge Distillation (DTKD): Federated Learning Over IIoT-Enabled Decentralized Water Distribution Networks," IEEE Transactions on Industrial Informatics, vol. 22, no. 4, pp. 2451–2462, 2026.</w:t>
      </w:r>
    </w:p>
    <w:p>
      <w:pPr>
        <w:pStyle w:val="references"/>
      </w:pPr>
      <w:r>
        <w:t>[16] F. Tao, H. Zhang, A. Liu, and A. Y. C. Nee, "Digital twin in industry: State-of-the-art," IEEE Transactions on Industrial Informatics, vol. 15, no. 4, pp. 2405–2415, 2019.</w:t>
      </w:r>
    </w:p>
    <w:p>
      <w:pPr>
        <w:pStyle w:val="references"/>
      </w:pPr>
      <w:r>
        <w:t>[17] Y. Romano, E. Patterson, and E. Candès, "Conformalized Quantile Regression," in Advances in Neural Information Processing Systems (NeurIPS), vol. 32, pp. 3543–3553, 2019.</w:t>
      </w:r>
    </w:p>
    <w:p>
      <w:pPr>
        <w:pStyle w:val="references"/>
      </w:pPr>
      <w:r>
        <w:t>[18] A. N. Angelopoulos and S. Bates, "A gentle introduction to conformal prediction and distribution-free uncertainty quantification," arXiv preprint arXiv:2107.07511, 2021.</w:t>
      </w:r>
    </w:p>
    <w:p>
      <w:pPr>
        <w:pStyle w:val="references"/>
      </w:pPr>
      <w:r>
        <w:t>[19] B. Lakshminarayanan, A. Pritzel, and C. Blundell, "Simple and scalable predictive uncertainty estimation using deep ensembles," in Advances in Neural Information Processing Systems (NeurIPS), vol. 30, pp. 6402–6413, 2017.</w:t>
      </w:r>
    </w:p>
    <w:p>
      <w:pPr>
        <w:pStyle w:val="references"/>
      </w:pPr>
      <w:r>
        <w:t>[20] T. Gneiting and A. E. Raftery, "Strictly proper scoring rules, prediction, and estimation," Journal of the American Statistical Association, vol. 102, no. 477, pp. 359–378, 2007.</w:t>
      </w:r>
    </w:p>
    <w:p>
      <w:pPr>
        <w:pStyle w:val="references"/>
      </w:pPr>
      <w:r>
        <w:t>[21] V. Vovk, A. Gammerman, and G. Shafer, Algorithmic Learning in a Random World. New York, NY: Springer Science &amp; Business Media, 2005.</w:t>
      </w:r>
    </w:p>
    <w:p>
      <w:pPr>
        <w:pStyle w:val="references"/>
      </w:pPr>
      <w:r>
        <w:t>[22] D. A. Tibshirani, R. Foygel Barber, E. Candes, and A. Ramdas, "Conformal prediction under covariate shift," in Advances in Neural Information Processing Systems (NeurIPS), vol. 32, pp. 2530–2540, 2019.</w:t>
      </w:r>
    </w:p>
    <w:p>
      <w:pPr>
        <w:pStyle w:val="references"/>
      </w:pPr>
      <w:r>
        <w:t>[23] C. Schwab and R. A. Todor, "Karhunen-Loève approximation of random fields by generalized fast multipole methods," Journal of Computational Physics, vol. 217, no. 1, pp. 100–122, 2006.</w:t>
      </w:r>
    </w:p>
    <w:p>
      <w:pPr>
        <w:pStyle w:val="references"/>
      </w:pPr>
      <w:r>
        <w:t>[24] H. Khosravi, S. Nahavandi, D. Creighton, and A. F. Atiya, "Comprehensive review of neural network-based prediction intervals and new advances," IEEE Transactions on Neural Networks and Learning Systems, vol. 22, no. 9, pp. 1341–1356, 2011.</w:t>
      </w:r>
    </w:p>
    <w:p>
      <w:pPr>
        <w:pStyle w:val="references"/>
        <w:sectPr w:rsidR="00836367" w:rsidRPr="00F44186" w:rsidSect="003B4E04">
          <w:type w:val="continuous"/>
          <w:pgSz w:w="595.30pt" w:h="841.90pt" w:code="9"/>
          <w:pgMar w:top="54pt" w:right="45.35pt" w:bottom="72pt" w:left="45.35pt" w:header="36pt" w:footer="36pt" w:gutter="0pt"/>
          <w:cols w:num="2" w:space="18pt"/>
          <w:docGrid w:linePitch="360"/>
        </w:sectPr>
      </w:pPr>
      <w:r>
        <w:t>[25] R. T. Rockafellar and S. Uryasev, "Optimization of conditional value-at-risk," Journal of Risk, vol. 2, no. 3, pp. 21–42, 2000.</w:t>
      </w: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21F0549" w14:textId="77777777" w:rsidR="00BD5962" w:rsidRDefault="00BD5962" w:rsidP="001A3B3D">
      <w:r>
        <w:separator/>
      </w:r>
    </w:p>
  </w:endnote>
  <w:endnote w:type="continuationSeparator" w:id="0">
    <w:p w14:paraId="19CF072E" w14:textId="77777777" w:rsidR="00BD5962" w:rsidRDefault="00BD596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9CFDCDD"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18108C0"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DBADB5D" w14:textId="77777777" w:rsidR="00BD5962" w:rsidRDefault="00BD5962" w:rsidP="001A3B3D">
      <w:r>
        <w:separator/>
      </w:r>
    </w:p>
  </w:footnote>
  <w:footnote w:type="continuationSeparator" w:id="0">
    <w:p w14:paraId="3D238EEB" w14:textId="77777777" w:rsidR="00BD5962" w:rsidRDefault="00BD5962"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5457377"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0A7B146"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BE71FB"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205</TotalTime>
  <Pages>1</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Jack Caulfield</cp:lastModifiedBy>
  <cp:revision>7</cp:revision>
  <dcterms:created xsi:type="dcterms:W3CDTF">2022-08-22T09:47:00Z</dcterms:created>
  <dcterms:modified xsi:type="dcterms:W3CDTF">2022-08-23T11:34:00Z</dcterms:modified>
</cp:coreProperties>
</file>