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0080"/>
          <w:sz w:val="52"/>
          <w:szCs w:val="52"/>
        </w:rPr>
        <w:t xml:space="preserve">하네스 에이전트 시스템</w:t>
      </w:r>
    </w:p>
    <w:p>
      <w:pPr>
        <w:spacing w:after="80"/>
        <w:jc w:val="center"/>
      </w:pPr>
      <w:r>
        <w:rPr>
          <w:rFonts w:ascii="Arial" w:cs="Arial" w:eastAsia="Arial" w:hAnsi="Arial"/>
          <w:color w:val="1E40AF"/>
          <w:sz w:val="40"/>
          <w:szCs w:val="40"/>
        </w:rPr>
        <w:t xml:space="preserve">구성 및 역할 · 기능 설명서</w:t>
      </w:r>
    </w:p>
    <w:p>
      <w:pPr>
        <w:pBdr>
          <w:top w:val="single" w:color="000080" w:sz="4" w:space="8"/>
        </w:pBdr>
        <w:spacing w:after="80"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AI 기반 중소기업 경영컨설팅 자동화 플랫폼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72개 에이전트 · 14개 레이어 · 6-Phase 파이프라인</w:t>
      </w:r>
    </w:p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4월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중기이코노미기업지원단 영남사업단 경남1본부(진주센터)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전문위원 여운식</w:t>
      </w:r>
    </w:p>
    <w:p>
      <w:r>
        <w:br w:type="page"/>
      </w:r>
    </w:p>
    <w:p>
      <w:pPr>
        <w:pStyle w:val="Heading1"/>
      </w:pPr>
      <w:r>
        <w:t xml:space="preserve">1. 시스템 개요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하네스 에이전트 시스템은 중소기업 대표(오너)가 하나의 재무제표만 제출하면, 법인·주주·과세관청·금융기관 4자 관점에서 절세·승계·리스크를 동시에 진단하고, 즉시 실행 가능한 솔루션을 PPT 한 벌로 전달하는 AI 기반 경영컨설팅 자동화 플랫폼입니다.</w:t>
      </w:r>
    </w:p>
    <w:p>
      <w:pPr>
        <w:pStyle w:val="Heading2"/>
      </w:pPr>
      <w:r>
        <w:t xml:space="preserve">1.1 핵심 시스템 사양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60"/>
      </w:tblGrid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000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000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총 에이전트 수</w:t>
            </w:r>
          </w:p>
        </w:tc>
        <w:tc>
          <w:tcPr>
            <w:tcW w:type="dxa" w:w="6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72개 (분석 53 + 검증 5 + 인프라 6 + 보고서 2 + PPT 1 + 기타 5)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레이어 구성</w:t>
            </w:r>
          </w:p>
        </w:tc>
        <w:tc>
          <w:tcPr>
            <w:tcW w:type="dxa" w:w="6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14개 레이어 (GROUP A~I + INFRA + Verify + Report + PPT + QualityGate)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실행 패턴</w:t>
            </w:r>
          </w:p>
        </w:tc>
        <w:tc>
          <w:tcPr>
            <w:tcW w:type="dxa" w:w="6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직병렬 (Phase간 직렬 + 레이어 내 병렬) / ThreadPoolExecutor(max_workers=2)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파이프라인</w:t>
            </w:r>
          </w:p>
        </w:tc>
        <w:tc>
          <w:tcPr>
            <w:tcW w:type="dxa" w:w="6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6-Phase: 병렬실행 → 검증 → 보고서 → PPT → 품질게이트 → 자가치유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 모델</w:t>
            </w:r>
          </w:p>
        </w:tc>
        <w:tc>
          <w:tcPr>
            <w:tcW w:type="dxa" w:w="6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Opus 4.6 (오케스트레이터) / Sonnet 4.6 (에이전트) / Haiku 4.5 (경량 인프라)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분석 관점</w:t>
            </w:r>
          </w:p>
        </w:tc>
        <w:tc>
          <w:tcPr>
            <w:tcW w:type="dxa" w:w="6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4자 교차분석: 법인 / 주주(오너) / 과세관청 / 금융기관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적용 법령</w:t>
            </w:r>
          </w:p>
        </w:tc>
        <w:tc>
          <w:tcPr>
            <w:tcW w:type="dxa" w:w="6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조특법 &gt; 법인세법 &gt; 소득세법 &gt; 국세기본법 &gt; 상법 &gt; 상증세법 (2026년 귀속 기준)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성공 기준</w:t>
            </w:r>
          </w:p>
        </w:tc>
        <w:tc>
          <w:tcPr>
            <w:tcW w:type="dxa" w:w="6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절세액 정량산출 + 세무조사 리스크 60% 미만 + 신용등급 미하락 + 즉시 실행 가능성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000080"/>
          <w:sz w:val="22"/>
          <w:szCs w:val="22"/>
        </w:rPr>
        <w:t xml:space="preserve">▼ 시스템 아키텍처 전체 구조도</w:t>
      </w:r>
    </w:p>
    <w:p>
      <w:pPr>
        <w:jc w:val="center"/>
      </w:pPr>
      <w:r>
        <w:drawing>
          <wp:inline distT="0" distB="0" distL="0" distR="0">
            <wp:extent cx="6286500" cy="4048125"/>
            <wp:effectExtent t="0" r="0" b="0" l="0"/>
            <wp:docPr id="1" name="arch" descr="System architecture diagra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2. 에이전트 그룹별 상세</w:t>
      </w:r>
    </w:p>
    <w:p>
      <w:pPr>
        <w:pStyle w:val="Heading2"/>
      </w:pPr>
      <w:r>
        <w:t xml:space="preserve">2.1 GROUP A — 핵심 세무·재무·승계 (4개)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법인세 절세, 비상장주식 평가, 가업승계, 재무구조 개선을 담당하는 핵심 그룹으로, 모든 컨설팅 보고서의 기반이 되는 분석을 수행합니다.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260"/>
      </w:tblGrid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 및 산출물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TaxAgent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법인세 절세 전략 전문가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- 2026년 법인세율(10%/20%/22%/25%) 기반 정확한 세액 산출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- 3개 이상 구체적 절세 전략 제시 (절세액 원화 산출)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실효세율 분석 + 지방소득세 10% 반영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calc_corporate_tax() 도구 활용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StockAgent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비상장주식 평가 전문가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상증세법 제54~56조 기반 보충적 평가법 적용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- 3단계 차등평가: 창업3년↓ 100% 순자산 / 부동산80%↑ 100% / 50~80% 순손익2:순자산3 / 일반 3:2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- 1주당 평가액 산출 + 증여/양도 시나리오 비교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SuccessionAgent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가업승계 전문가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상증세법 제18조의2 기반 공제한도 산출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경영기간별 공제: 10년↑ 300억 / 20년↑ 500억 / 30년↑ 600억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사후관리 7년 요건 + 자녀법인 활용 승계 시나리오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FinanceAgent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재무구조 개선 전문가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부채비율(100% 기준), 유동비율(150% 양호), ROE 분석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재무구조 개선 로드맵 제시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금융기관 신용등급 영향 분석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GROUP B — 법무·특허·노무·부동산·보험 (5개)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법무 컴플라이언스, 특허·R&amp;D 세액공제, 노무관리, 부동산 세무, 보험 설계를 담당하는 전문 그룹입니다.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260"/>
      </w:tblGrid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 및 산출물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LegalAgent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상법 절차·공정거래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이사회·주총 결의 적법성 검토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공정거래법 위반 리스크 진단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차명주식 명의신탁 리스크 평가 + 해소방안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PatentAgent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R&amp;D 세액공제 최적화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특허권 이전·라이선싱 전략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기술보증기금 활용 방안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조특법 근거 R&amp;D 세액공제 최적화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LaborAgent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통상임금·퇴직금·4대보험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통상임금 적법성 검토 + 위반 리스크 산출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퇴직금 규정 최적화 (손금산입 한도 연계)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두루누리 사회보험료 지원제도 안내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중대재해처벌법 대응 점검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RealEstateAgent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부동산 세무 비교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법인 vs 개인 보유 세무 비교분석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공장·사업장 양도 최적화 전략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임대차 리스크 진단 + 부동산 과다법인 판정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InsuranceAgent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CEO 유고 리스크 보험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CEO 유고 시 경영 연속성 리스크 분석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임원 퇴직금 재원 보험 설계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D&amp;O(임원배상책임) 보험 필요성 평가</w:t>
            </w:r>
          </w:p>
        </w:tc>
      </w:tr>
    </w:tbl>
    <w:p>
      <w:pPr>
        <w:pStyle w:val="Heading2"/>
      </w:pPr>
      <w:r>
        <w:t xml:space="preserve">2.3 GROUP C — 시장·정책·금융 (7개)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외부 환경 분석, 정책자금 탐색, 현금흐름·신용등급·기업가치·ESG 분석을 수행하는 시장 조사 그룹입니다.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260"/>
      </w:tblGrid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 및 산출물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IndustryAgent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동종업계 벤치마크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업종별 재무비율 벤치마크 비교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세무조사 트렌드 분석 + 업종별 조사 확률 제시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WebResearchAgent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업계 최신 동향 조사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기업 및 업계 최신 뉴스·동향 수집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특허청 정보, 경쟁사 동향 파악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PolicyFundingAgent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정책자금·바우처·인증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정책자금(중진공·소진공·기보) 적격 여부 판정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바우처 사업, 기업 인증(벤처·이노비즈·메인비즈) 혜택 안내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CashFlowAgent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12개월 현금흐름 시뮬레이션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월별 현금 유입/유출 예측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흑자도산 리스크 진단 + 운전자본 적정성 평가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CreditRatingAgent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신용등급 추정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금융기관 신용평가 기준 기반 등급 추정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금리 절감 전략 + 등급 개선 로드맵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MAValuationAgent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기업가치 산출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DCF/PER/EV-EBITDA 다중 범위 평가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M&amp;A 대상 기업 적정 인수가격 범위 제시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ESGRiskAgent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ESG 리스크 분석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E(환경)·S(사회)·G(지배구조) 항목별 리스크 진단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EU CBAM(탄소국경조정제도) 대응 방안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GROUP D — 모니터링·시나리오 (2개)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전기 대비 변동 추적과 절세·승계 시나리오 시뮬레이션을 전담합니다.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260"/>
      </w:tblGrid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 및 산출물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MonitorAgent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경영지표 Delta 분석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전기 스냅샷 vs 당기 데이터 비교 (10개 KPI)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추적 항목: 매출액, 순이익, 부채, 자본, 가지급금 등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파생 비율: 부채비율, 유동비율, 이자보상비율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종합 판정: 개선/유지/악화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ScenarioAgent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절세·구조설계 시뮬레이션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시나리오 A: 임원퇴직금 설계 (법인세법 §26)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시나리오 B: 가업상속공제 활용 승계 (상증법 §18의2)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시나리오 C: 자녀법인 설립 절세 효과 분석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각 시나리오별 절세액 정량 산출</w:t>
            </w:r>
          </w:p>
        </w:tc>
      </w:tr>
    </w:tbl>
    <w:p>
      <w:pPr>
        <w:pStyle w:val="Heading2"/>
      </w:pPr>
      <w:r>
        <w:t xml:space="preserve">2.5 GROUP E — 가지급금·차명주식·임원보수 (3개)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중소기업 핵심 리스크 영역인 가지급금, 차명주식, 임원보수 최적화를 전담합니다.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260"/>
      </w:tblGrid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7F1D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7F1D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7F1D1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 및 산출물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ProvisionalPaymentAgent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가지급금 전담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인정이자(4.6%) 기반 세무부담 산출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- 5가지 해소방법: 상여처분/급여인상/퇴직금/배당/자산매각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월별 단계적 상환 로드맵 제시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익금산입 + 상여처분 세무부담 비교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NomineeStockAgent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차명주식 전담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차명주식 세무리스크 정량화 (증여세 15년 부과 위험)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- 4가지 해소방법: 명의개서/증여/매매/자기주식취득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방법별 세부담·법무리스크 비교 분석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ExecutivePayAgent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임원보수 최적화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퇴직금 손금산입 한도: 평균급여 × 1/10 × 근속연수 × 배수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퇴직소득세 완전 계산 (근속연수공제·환산급여·세율 적용)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- 3개 시나리오: 급여 vs 배당 vs 퇴직금 세부담 비교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2.6 GROUP F — 세목별 전문 (5개)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증여세, 상속세, 부가가치세, R&amp;D 세액공제, 투자 세액공제 등 개별 세목 전문 분석 그룹입니다.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260"/>
      </w:tblGrid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 및 산출물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GiftTaxAgent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증여세 계산·절세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증여재산공제 적용 (배우자 6억/성년 5천만/미성년 2천만)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혼인·출산공제 활용 (합산 최대 1억)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- 10년 합산 전략적 증여 로드맵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InheritanceTaxAgent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상속세 시뮬레이션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상속세 총액 시뮬레이션 + 절세 방안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사전증여 전략 + 유산취득세 영향 분석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세대생략 상속 할증세 영향 분석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VATAgent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부가가치세 최적화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매입세액공제 최대화 전략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영세율 적용 항목 확인 + 조기환급 활용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RDTaxCreditAgent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R&amp;D 세액공제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조특법 §10~§12 R&amp;D 비용 세액공제 최적화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신성장·원천기술 R&amp;D 우대공제 안내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공제 적격 비용 분류 기준 제시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InvestTaxCreditAgent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투자·설비 세액공제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통합투자세액공제 (조특법 §24) 적용 방안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기본공제 + 추가공제 최대화 전략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설비투자 타이밍 최적화 제안</w:t>
            </w:r>
          </w:p>
        </w:tc>
      </w:tr>
    </w:tbl>
    <w:p>
      <w:pPr>
        <w:pStyle w:val="Heading2"/>
      </w:pPr>
      <w:r>
        <w:t xml:space="preserve">2.7 GROUP G — 재무·HR 전문 (6개)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260"/>
      </w:tblGrid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 및 산출물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FinancialForecastAgent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재무 예측·시나리오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- 3년 재무예측 + 비관/보수/낙관 시나리오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손익분기점(BEP) 문턴 예측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CostAnalysisAgent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원가 분석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원가구조 분석 + 손익분기점 산출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비용 절감 영역 식별 + 개선 효과 정량화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SocialInsuranceAgent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4대보험료 최적화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- 4대보험 적정성 검토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두루누리 사회보험 적용 + 보험료 절감 방안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PerformancePayAgent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성과급 설계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성과급 제도 설계 + 손금산입 요건 충족 방안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성과지표(KPI) 설정 + 배분 기준 제안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DividendPolicyAgent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배당정책 최적화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배당 vs 급여 세부담 비교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배당소득세 14% 분리과세 vs 종합과세 선택 전략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RelatedPartyAgent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특수관계인 거래 리스크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특수관계인 거래 세무리스크 진단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부당행위계산부인 위험 항목 식별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적정가격 기준 제시 + 시가 입증 방법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2.8 GROUP H — 성장·전략 (6개)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260"/>
      </w:tblGrid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9F123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9F123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9F123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 및 산출물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18"/>
                <w:szCs w:val="18"/>
              </w:rPr>
              <w:t xml:space="preserve">GlobalExpansionAgent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해외진출 세무·전략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해외법인 설립 세무 + 이전가격 전략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조세조약 활용 + 외국납부세액공제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18"/>
                <w:szCs w:val="18"/>
              </w:rPr>
              <w:t xml:space="preserve">DXAgent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디지털 혁신 세액공제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디지털 전환 투자 세액공제 안내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스마트공장·AI 도입 지원사업 연계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18"/>
                <w:szCs w:val="18"/>
              </w:rPr>
              <w:t xml:space="preserve">SubcontractAgent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하도급 리스크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하도급 공정화법 준수 점검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부정행위 적발 위험 진단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18"/>
                <w:szCs w:val="18"/>
              </w:rPr>
              <w:t xml:space="preserve">IPOAgent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IPO 준비·상장 세무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IPO 요건 충족 여부 점검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상장 전후 세무 영향 분석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18"/>
                <w:szCs w:val="18"/>
              </w:rPr>
              <w:t xml:space="preserve">FranchiseAgent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프랜차이즈 시스템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가맹점사업 구조 설계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가맹점사업법 준수 점검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18"/>
                <w:szCs w:val="18"/>
              </w:rPr>
              <w:t xml:space="preserve">DebtRestructuringAgent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부채 재구조화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재구조화 방안 (차환·출자전환·기간연장)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구조조정 세무 효과 분석</w:t>
            </w:r>
          </w:p>
        </w:tc>
      </w:tr>
    </w:tbl>
    <w:p>
      <w:pPr>
        <w:pStyle w:val="Heading2"/>
      </w:pPr>
      <w:r>
        <w:t xml:space="preserve">2.9 GROUP I — 컴플라이언스·지원 (8개)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260"/>
      </w:tblGrid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 및 산출물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ComplianceAgent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준법 심사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법령 준수 종합 점검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정책 준수 가이드라인 제공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ContractReviewAgent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계약 검토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계약서 리스크 분석 + 불리한 조항 식별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변호사 검토 전 사전점검 수행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WorkingCapitalAgent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운전자본 관리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매출채권 회전일·재고회전일·매입채무 회전일 분석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CCC(현금전환주기) 최적화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PrivacyAgent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개인정보 보호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개인정보보호법 준수 점검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데이터 처리 방침 적정성 평가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HRDAgent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인적자원 개발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교육훈련비 세액공제 활용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인재 육성 전략 + 정부 지원사업 연계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SupplyChainAgent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공급망 리스크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공급망 집중도 분석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대체 공급처 확보 전략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TradeAgent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수출입 세무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관세 최적화 + FTA 활용 전략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수출 세액공제 적용 방안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VentureCapitalAgent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VC/엔젤 투자 유치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투자유치 전략 수립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엔젤투자 세액공제 활용 안내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2.10 INFRA — 인프라·검증 (6개)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데이터 검증, 쿼리 분류, 리스크 점수화, CEO 요약, 재무검증, 법규검증 등 시스템 인프라를 담당합니다.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260"/>
      </w:tblGrid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478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에이전트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478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478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 및 산출물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DataValidationAgent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입력 데이터 검증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필수/권장 필드 검증 (INDUSTRY_DEFAULTS 기준)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누락값 자동 보완 (업종별 벤치마크 기반)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논리 충돌 감지 (예: 이익 &gt; 매출 모순)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Haiku 4.5 경량 모델 사용 (비용 효율성)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QueryClassifierAgent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질의 분류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사용자 쿼리를 적절한 에이전트로 라우팅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복합 질의 시 복수 에이전트 동시 호출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RiskScoreAgent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종합 경영 리스크 (0-100)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- 5개 리스크 축 가중치 평가: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  세무리스크 30% | 법무컴플라이언스 20% | 재무 25% | 운영 15% | 전략 10%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신호등: GREEN ≤30 | YELLOW 31-60 | RED ≥61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SummaryAgent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CEO 1-page 요약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전체 에이전트 결과에서 총 절세액 추출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실행 로드맵: 즉시(1주) → 1M → 3M → 6M → 1Y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A4 1페이지 경영진 요약 보고서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VerifyFinance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재무 수치 교차검증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K-IFRS/K-GAAP 기준 재무비율 검증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법인세 구간별 재계산 검증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verify_tax_calculation(), verify_financial_ratios() 도구</w:t>
            </w:r>
          </w:p>
        </w:tc>
      </w:tr>
      <w:tr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VerifyCompliance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법규 준수 검증</w:t>
            </w:r>
          </w:p>
        </w:tc>
        <w:tc>
          <w:tcPr>
            <w:tcW w:type="dxa" w:w="52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적용 법령 조문 명시 여부 검증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 판례 기반 적법성 확인</w:t>
            </w:r>
          </w:p>
        </w:tc>
      </w:tr>
    </w:tbl>
    <w:p>
      <w:pPr>
        <w:pStyle w:val="Heading1"/>
      </w:pPr>
      <w:r>
        <w:t xml:space="preserve">3. 검증 시스템 (Phase 2)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Phase 1에서 생성된 39개 에이전트 결과를 3개 검증 에이전트가 병렬로 교차검증합니다. 각 검증 에이전트는 담당 영역의 결과를 받아 score(0-100), status(PASS/WARNING/FAIL), issues[], recommendation을 반환합니다.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60"/>
      </w:tblGrid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000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에이전트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000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영역</w:t>
            </w:r>
          </w:p>
        </w:tc>
        <w:tc>
          <w:tcPr>
            <w:tcW w:type="dxa" w:w="50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000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대상 에이전트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VerifyTax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세무·주식·재무</w:t>
            </w:r>
          </w:p>
        </w:tc>
        <w:tc>
          <w:tcPr>
            <w:tcW w:type="dxa" w:w="50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TaxAgent, StockAgent, SuccessionAgent, FinanceAgent, ProvisionalPayment, NomineeStock, ExecutivePay, GiftTax, InheritanceTax, VAT, RDTaxCredit, InvestTaxCredit, DividendPolicy, RelatedParty (14개)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VerifyOps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법무·운영</w:t>
            </w:r>
          </w:p>
        </w:tc>
        <w:tc>
          <w:tcPr>
            <w:tcW w:type="dxa" w:w="50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LegalAgent, LaborAgent, PatentAgent, RealEstate, Insurance, SocialInsurance, PerformancePay, Subcontract, Franchise, Compliance, ContractReview, Privacy, HRD, SupplyChain (14개)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VerifyStrategy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전략·시장</w:t>
            </w:r>
          </w:p>
        </w:tc>
        <w:tc>
          <w:tcPr>
            <w:tcW w:type="dxa" w:w="50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PolicyFunding, CashFlow, CreditRating, MAValuation, ESGRisk, Industry, WebResearch, BusinessPlan, FinancialForecast, CostAnalysis, GlobalExpansion, DX, IPO, DebtRestructuring 외 (21개)</w:t>
            </w:r>
          </w:p>
        </w:tc>
      </w:tr>
    </w:tbl>
    <w:p>
      <w:pPr>
        <w:pStyle w:val="Heading2"/>
      </w:pPr>
      <w:r>
        <w:t xml:space="preserve">3.1 품질게이트 (QualityGate)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80"/>
        <w:gridCol w:w="2880"/>
      </w:tblGrid>
      <w:tr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000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000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 범위</w:t>
            </w:r>
          </w:p>
        </w:tc>
        <w:tc>
          <w:tcPr>
            <w:tcW w:type="dxa" w:w="28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000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tcW w:type="dxa" w:w="28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000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90점 이상</w:t>
            </w:r>
          </w:p>
        </w:tc>
        <w:tc>
          <w:tcPr>
            <w:tcW w:type="dxa" w:w="28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우수 — 모든 검증 통과</w:t>
            </w:r>
          </w:p>
        </w:tc>
        <w:tc>
          <w:tcPr>
            <w:tcW w:type="dxa" w:w="28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즉시 보고서 생성</w:t>
            </w:r>
          </w:p>
        </w:tc>
      </w:tr>
      <w:tr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80~89점</w:t>
            </w:r>
          </w:p>
        </w:tc>
        <w:tc>
          <w:tcPr>
            <w:tcW w:type="dxa" w:w="28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양호 — 경미한 경고 존재</w:t>
            </w:r>
          </w:p>
        </w:tc>
        <w:tc>
          <w:tcPr>
            <w:tcW w:type="dxa" w:w="28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경고 부기 후 보고서 생성</w:t>
            </w:r>
          </w:p>
        </w:tc>
      </w:tr>
      <w:tr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60~79점</w:t>
            </w:r>
          </w:p>
        </w:tc>
        <w:tc>
          <w:tcPr>
            <w:tcW w:type="dxa" w:w="28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보통 — 일부 이슈 존재</w:t>
            </w:r>
          </w:p>
        </w:tc>
        <w:tc>
          <w:tcPr>
            <w:tcW w:type="dxa" w:w="28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이슈 명시 + 보고서 생성</w:t>
            </w:r>
          </w:p>
        </w:tc>
      </w:tr>
      <w:tr>
        <w:tc>
          <w:tcPr>
            <w:tcW w:type="dxa" w:w="1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F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60점 미만</w:t>
            </w:r>
          </w:p>
        </w:tc>
        <w:tc>
          <w:tcPr>
            <w:tcW w:type="dxa" w:w="28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불합격 — 심각한 오류</w:t>
            </w:r>
          </w:p>
        </w:tc>
        <w:tc>
          <w:tcPr>
            <w:tcW w:type="dxa" w:w="28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자가치유 루프 진입 (최대 3회)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AI 모델 라우팅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에이전트별 특성에 따라 최적의 AI 모델을 배정하여 비용 효율성과 분석 품질을 동시에 확보합니다.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80"/>
        <w:gridCol w:w="3380"/>
      </w:tblGrid>
      <w:tr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000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33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000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대상</w:t>
            </w:r>
          </w:p>
        </w:tc>
        <w:tc>
          <w:tcPr>
            <w:tcW w:type="dxa" w:w="33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0008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근거</w:t>
            </w:r>
          </w:p>
        </w:tc>
      </w:tr>
      <w:tr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0080"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33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오케스트레이터 (보고서 종합)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Solution Layer (L5~L7 고난도)</w:t>
            </w:r>
          </w:p>
        </w:tc>
        <w:tc>
          <w:tcPr>
            <w:tcW w:type="dxa" w:w="33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복잡한 다중 에이전트 결과 종합,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최종 경영진 보고서 품질 확보</w:t>
            </w:r>
          </w:p>
        </w:tc>
      </w:tr>
      <w:tr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33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분석 에이전트 (GROUP A~I)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검증 에이전트 (Verify*)</w:t>
            </w:r>
          </w:p>
        </w:tc>
        <w:tc>
          <w:tcPr>
            <w:tcW w:type="dxa" w:w="33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세법 계산, 전략 수립,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교차검증 등 전문 분석 업무</w:t>
            </w:r>
          </w:p>
        </w:tc>
      </w:tr>
      <w:tr>
        <w:tc>
          <w:tcPr>
            <w:tcW w:type="dxa" w:w="2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33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DataValidationAgent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QueryClassifierAgent</w:t>
            </w:r>
          </w:p>
        </w:tc>
        <w:tc>
          <w:tcPr>
            <w:tcW w:type="dxa" w:w="33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데이터 검증, 쿼리 분류 등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경량 작업 (비용 효율성)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80" w:sz="6" w:space="4"/>
      </w:pBdr>
      <w:jc w:val="right"/>
    </w:pPr>
    <w:r>
      <w:rPr>
        <w:rFonts w:ascii="Arial" w:cs="Arial" w:eastAsia="Arial" w:hAnsi="Arial"/>
        <w:b/>
        <w:bCs/>
        <w:color w:val="000080"/>
        <w:sz w:val="16"/>
        <w:szCs w:val="16"/>
      </w:rPr>
      <w:t xml:space="preserve">하네스 에이전트 시스템</w:t>
    </w:r>
    <w:r>
      <w:rPr>
        <w:rFonts w:ascii="Arial" w:cs="Arial" w:eastAsia="Arial" w:hAnsi="Arial"/>
        <w:color w:val="666666"/>
        <w:sz w:val="16"/>
        <w:szCs w:val="16"/>
      </w:rPr>
      <w:t xml:space="preserve"> | 구성 및 역할·기능 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008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40A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7705fbb2509609ac58550cc17efd39cb3b02b2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2026-04-27T06:55:25.760Z</dcterms:created>
  <dcterms:modified xsi:type="dcterms:W3CDTF">2026-04-27T06:55:25.760Z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