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A1A2E"/>
          </w:tcPr>
          <w:p/>
          <w:p>
            <w:pPr>
              <w:spacing w:before="0" w:after="120"/>
              <w:jc w:val="right"/>
            </w:pPr>
            <w:r>
              <w:rPr>
                <w:rFonts w:ascii="Calibri" w:hAnsi="Calibri"/>
                <w:b w:val="0"/>
                <w:i w:val="0"/>
                <w:color w:val="FFFFFF"/>
                <w:sz w:val="18"/>
                <w:u w:val="none"/>
              </w:rPr>
              <w:t>N° 1  •  Printemps 2026</w:t>
            </w:r>
          </w:p>
          <w:p>
            <w:pPr>
              <w:spacing w:before="0" w:after="600"/>
            </w:pPr>
          </w:p>
          <w:p>
            <w:pPr>
              <w:spacing w:before="0" w:after="80"/>
              <w:jc w:val="left"/>
            </w:pPr>
            <w:r>
              <w:rPr>
                <w:rFonts w:ascii="Calibri" w:hAnsi="Calibri"/>
                <w:b w:val="0"/>
                <w:i w:val="0"/>
                <w:color w:val="E2B96F"/>
                <w:sz w:val="18"/>
                <w:u w:val="none"/>
              </w:rPr>
              <w:t>VOTRE MAGAZINE EN LIGNE</w:t>
            </w:r>
          </w:p>
          <w:p>
            <w:pPr>
              <w:spacing w:before="0" w:after="80"/>
              <w:jc w:val="left"/>
            </w:pPr>
            <w:r>
              <w:rPr>
                <w:rFonts w:ascii="Georgia" w:hAnsi="Georgia"/>
                <w:b/>
                <w:i w:val="0"/>
                <w:color w:val="FFFFFF"/>
                <w:sz w:val="108"/>
                <w:u w:val="none"/>
              </w:rPr>
              <w:t>MAGAZINE</w:t>
            </w:r>
          </w:p>
          <w:p>
            <w:pPr>
              <w:spacing w:before="0" w:after="480"/>
              <w:jc w:val="left"/>
            </w:pPr>
            <w:r>
              <w:rPr>
                <w:rFonts w:ascii="Calibri" w:hAnsi="Calibri"/>
                <w:b w:val="0"/>
                <w:i w:val="0"/>
                <w:color w:val="CCCCCC"/>
                <w:sz w:val="22"/>
                <w:u w:val="none"/>
              </w:rPr>
              <w:t>Culture  ·  Société  ·  Innovation  ·  Lifestyle</w:t>
            </w:r>
          </w:p>
          <w:p>
            <w:pPr>
              <w:spacing w:before="0" w:after="80"/>
              <w:jc w:val="left"/>
            </w:pPr>
            <w:r>
              <w:rPr>
                <w:rFonts w:ascii="Calibri" w:hAnsi="Calibri"/>
                <w:b/>
                <w:i w:val="0"/>
                <w:color w:val="FFFFFF"/>
                <w:sz w:val="22"/>
                <w:u w:val="none"/>
              </w:rPr>
              <w:t>🌍 Comprendre le monde</w:t>
            </w:r>
            <w:r>
              <w:rPr>
                <w:rFonts w:ascii="Calibri" w:hAnsi="Calibri"/>
                <w:b w:val="0"/>
                <w:i w:val="0"/>
                <w:color w:val="BBBBBB"/>
                <w:sz w:val="22"/>
                <w:u w:val="none"/>
              </w:rPr>
              <w:t xml:space="preserve"> — Les grands enjeux de demain</w:t>
            </w:r>
          </w:p>
          <w:p>
            <w:pPr>
              <w:spacing w:before="0" w:after="80"/>
              <w:jc w:val="left"/>
            </w:pPr>
            <w:r>
              <w:rPr>
                <w:rFonts w:ascii="Calibri" w:hAnsi="Calibri"/>
                <w:b/>
                <w:i w:val="0"/>
                <w:color w:val="FFFFFF"/>
                <w:sz w:val="22"/>
                <w:u w:val="none"/>
              </w:rPr>
              <w:t>💡 Innovations</w:t>
            </w:r>
            <w:r>
              <w:rPr>
                <w:rFonts w:ascii="Calibri" w:hAnsi="Calibri"/>
                <w:b w:val="0"/>
                <w:i w:val="0"/>
                <w:color w:val="BBBBBB"/>
                <w:sz w:val="22"/>
                <w:u w:val="none"/>
              </w:rPr>
              <w:t xml:space="preserve"> — Quand la technologie change nos vies</w:t>
            </w:r>
          </w:p>
          <w:p>
            <w:pPr>
              <w:spacing w:before="0" w:after="80"/>
              <w:jc w:val="left"/>
            </w:pPr>
            <w:r>
              <w:rPr>
                <w:rFonts w:ascii="Calibri" w:hAnsi="Calibri"/>
                <w:b/>
                <w:i w:val="0"/>
                <w:color w:val="FFFFFF"/>
                <w:sz w:val="22"/>
                <w:u w:val="none"/>
              </w:rPr>
              <w:t>🎨 Culture &amp; Art</w:t>
            </w:r>
            <w:r>
              <w:rPr>
                <w:rFonts w:ascii="Calibri" w:hAnsi="Calibri"/>
                <w:b w:val="0"/>
                <w:i w:val="0"/>
                <w:color w:val="BBBBBB"/>
                <w:sz w:val="22"/>
                <w:u w:val="none"/>
              </w:rPr>
              <w:t xml:space="preserve"> — Les nouvelles créations qui font le buzz</w:t>
            </w:r>
          </w:p>
          <w:p>
            <w:pPr>
              <w:spacing w:before="0" w:after="80"/>
              <w:jc w:val="left"/>
            </w:pPr>
            <w:r>
              <w:rPr>
                <w:rFonts w:ascii="Calibri" w:hAnsi="Calibri"/>
                <w:b/>
                <w:i w:val="0"/>
                <w:color w:val="FFFFFF"/>
                <w:sz w:val="22"/>
                <w:u w:val="none"/>
              </w:rPr>
              <w:t>🌿 Bien-être</w:t>
            </w:r>
            <w:r>
              <w:rPr>
                <w:rFonts w:ascii="Calibri" w:hAnsi="Calibri"/>
                <w:b w:val="0"/>
                <w:i w:val="0"/>
                <w:color w:val="BBBBBB"/>
                <w:sz w:val="22"/>
                <w:u w:val="none"/>
              </w:rPr>
              <w:t xml:space="preserve"> — Conseils pour une vie équilibrée</w:t>
            </w:r>
          </w:p>
          <w:p>
            <w:pPr>
              <w:spacing w:before="0" w:after="480"/>
            </w:pPr>
          </w:p>
          <w:p>
            <w:pPr>
              <w:spacing w:before="0" w:after="0"/>
              <w:jc w:val="center"/>
            </w:pPr>
            <w:r>
              <w:rPr>
                <w:rFonts w:ascii="Calibri" w:hAnsi="Calibri"/>
                <w:b w:val="0"/>
                <w:i w:val="0"/>
                <w:color w:val="888888"/>
                <w:sz w:val="18"/>
                <w:u w:val="none"/>
              </w:rPr>
              <w:t>www.magazine.io</w:t>
            </w:r>
          </w:p>
        </w:tc>
      </w:tr>
    </w:tbl>
    <w:p/>
    <w:p>
      <w:pPr>
        <w:spacing w:before="0" w:after="0"/>
      </w:pPr>
      <w:r>
        <w:br w:type="page"/>
      </w:r>
    </w:p>
    <w:p>
      <w:pPr>
        <w:spacing w:before="0" w:after="360"/>
        <w:jc w:val="left"/>
        <w:pBdr>
          <w:bottom w:val="single" w:sz="6" w:space="1" w:color="D5CFB7"/>
        </w:pBdr>
      </w:pPr>
      <w:r>
        <w:rPr>
          <w:rFonts w:ascii="Calibri" w:hAnsi="Calibri"/>
          <w:b w:val="0"/>
          <w:i w:val="0"/>
          <w:color w:val="777777"/>
          <w:sz w:val="18"/>
          <w:u w:val="none"/>
        </w:rPr>
        <w:t>SOMMAIRE</w:t>
      </w:r>
    </w:p>
    <w:p>
      <w:pPr>
        <w:spacing w:before="0" w:after="120"/>
        <w:jc w:val="left"/>
        <w:pBdr>
          <w:bottom w:val="single" w:sz="4" w:space="1" w:color="D5CFB7"/>
        </w:pBdr>
      </w:pPr>
      <w:r>
        <w:rPr>
          <w:rFonts w:ascii="Calibri" w:hAnsi="Calibri"/>
          <w:b/>
          <w:i w:val="0"/>
          <w:color w:val="E2B96F"/>
          <w:sz w:val="22"/>
          <w:u w:val="none"/>
        </w:rPr>
        <w:t xml:space="preserve">03  </w:t>
      </w:r>
      <w:r>
        <w:rPr>
          <w:rFonts w:ascii="Georgia" w:hAnsi="Georgia"/>
          <w:b w:val="0"/>
          <w:i w:val="0"/>
          <w:color w:val="333333"/>
          <w:sz w:val="22"/>
          <w:u w:val="none"/>
        </w:rPr>
        <w:t>Éditorial — Bienvenue dans ce premier numéro</w:t>
      </w:r>
    </w:p>
    <w:p>
      <w:pPr>
        <w:spacing w:before="0" w:after="120"/>
        <w:jc w:val="left"/>
        <w:pBdr>
          <w:bottom w:val="single" w:sz="4" w:space="1" w:color="D5CFB7"/>
        </w:pBdr>
      </w:pPr>
      <w:r>
        <w:rPr>
          <w:rFonts w:ascii="Calibri" w:hAnsi="Calibri"/>
          <w:b/>
          <w:i w:val="0"/>
          <w:color w:val="E2B96F"/>
          <w:sz w:val="22"/>
          <w:u w:val="none"/>
        </w:rPr>
        <w:t xml:space="preserve">06  </w:t>
      </w:r>
      <w:r>
        <w:rPr>
          <w:rFonts w:ascii="Georgia" w:hAnsi="Georgia"/>
          <w:b w:val="0"/>
          <w:i w:val="0"/>
          <w:color w:val="333333"/>
          <w:sz w:val="22"/>
          <w:u w:val="none"/>
        </w:rPr>
        <w:t>Dossier — Comprendre le monde de demain</w:t>
      </w:r>
    </w:p>
    <w:p>
      <w:pPr>
        <w:spacing w:before="0" w:after="120"/>
        <w:jc w:val="left"/>
        <w:pBdr>
          <w:bottom w:val="single" w:sz="4" w:space="1" w:color="D5CFB7"/>
        </w:pBdr>
      </w:pPr>
      <w:r>
        <w:rPr>
          <w:rFonts w:ascii="Calibri" w:hAnsi="Calibri"/>
          <w:b/>
          <w:i w:val="0"/>
          <w:color w:val="E2B96F"/>
          <w:sz w:val="22"/>
          <w:u w:val="none"/>
        </w:rPr>
        <w:t xml:space="preserve">12  </w:t>
      </w:r>
      <w:r>
        <w:rPr>
          <w:rFonts w:ascii="Georgia" w:hAnsi="Georgia"/>
          <w:b w:val="0"/>
          <w:i w:val="0"/>
          <w:color w:val="333333"/>
          <w:sz w:val="22"/>
          <w:u w:val="none"/>
        </w:rPr>
        <w:t>Innovations — La technologie au service de l'humain</w:t>
      </w:r>
    </w:p>
    <w:p>
      <w:pPr>
        <w:spacing w:before="0" w:after="120"/>
        <w:jc w:val="left"/>
        <w:pBdr>
          <w:bottom w:val="single" w:sz="4" w:space="1" w:color="D5CFB7"/>
        </w:pBdr>
      </w:pPr>
      <w:r>
        <w:rPr>
          <w:rFonts w:ascii="Calibri" w:hAnsi="Calibri"/>
          <w:b/>
          <w:i w:val="0"/>
          <w:color w:val="E2B96F"/>
          <w:sz w:val="22"/>
          <w:u w:val="none"/>
        </w:rPr>
        <w:t xml:space="preserve">18  </w:t>
      </w:r>
      <w:r>
        <w:rPr>
          <w:rFonts w:ascii="Georgia" w:hAnsi="Georgia"/>
          <w:b w:val="0"/>
          <w:i w:val="0"/>
          <w:color w:val="333333"/>
          <w:sz w:val="22"/>
          <w:u w:val="none"/>
        </w:rPr>
        <w:t>Culture &amp; Art — Les créateurs qui inspirent</w:t>
      </w:r>
    </w:p>
    <w:p>
      <w:pPr>
        <w:spacing w:before="0" w:after="120"/>
        <w:jc w:val="left"/>
        <w:pBdr>
          <w:bottom w:val="single" w:sz="4" w:space="1" w:color="D5CFB7"/>
        </w:pBdr>
      </w:pPr>
      <w:r>
        <w:rPr>
          <w:rFonts w:ascii="Calibri" w:hAnsi="Calibri"/>
          <w:b/>
          <w:i w:val="0"/>
          <w:color w:val="E2B96F"/>
          <w:sz w:val="22"/>
          <w:u w:val="none"/>
        </w:rPr>
        <w:t xml:space="preserve">24  </w:t>
      </w:r>
      <w:r>
        <w:rPr>
          <w:rFonts w:ascii="Georgia" w:hAnsi="Georgia"/>
          <w:b w:val="0"/>
          <w:i w:val="0"/>
          <w:color w:val="333333"/>
          <w:sz w:val="22"/>
          <w:u w:val="none"/>
        </w:rPr>
        <w:t>Société — Nouvelles façons de vivre ensemble</w:t>
      </w:r>
    </w:p>
    <w:p>
      <w:pPr>
        <w:spacing w:before="0" w:after="120"/>
        <w:jc w:val="left"/>
        <w:pBdr>
          <w:bottom w:val="single" w:sz="4" w:space="1" w:color="D5CFB7"/>
        </w:pBdr>
      </w:pPr>
      <w:r>
        <w:rPr>
          <w:rFonts w:ascii="Calibri" w:hAnsi="Calibri"/>
          <w:b/>
          <w:i w:val="0"/>
          <w:color w:val="E2B96F"/>
          <w:sz w:val="22"/>
          <w:u w:val="none"/>
        </w:rPr>
        <w:t xml:space="preserve">30  </w:t>
      </w:r>
      <w:r>
        <w:rPr>
          <w:rFonts w:ascii="Georgia" w:hAnsi="Georgia"/>
          <w:b w:val="0"/>
          <w:i w:val="0"/>
          <w:color w:val="333333"/>
          <w:sz w:val="22"/>
          <w:u w:val="none"/>
        </w:rPr>
        <w:t>Bien-être — Prendre soin de soi au quotidien</w:t>
      </w:r>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ÉDITORIAL</w:t>
      </w:r>
    </w:p>
    <w:p>
      <w:pPr>
        <w:spacing w:before="0" w:after="200"/>
        <w:jc w:val="left"/>
      </w:pPr>
      <w:r>
        <w:rPr>
          <w:rFonts w:ascii="Georgia" w:hAnsi="Georgia"/>
          <w:b/>
          <w:i w:val="0"/>
          <w:color w:val="1A1A2E"/>
          <w:sz w:val="52"/>
          <w:u w:val="none"/>
        </w:rPr>
        <w:t>Bienvenue dans ce premier numéro</w:t>
      </w:r>
    </w:p>
    <w:p>
      <w:pPr>
        <w:spacing w:before="80" w:after="240"/>
        <w:ind w:left="340"/>
        <w:jc w:val="left"/>
        <w:pBdr>
          <w:left w:val="single" w:sz="18" w:space="4" w:color="E2B96F"/>
        </w:pBdr>
      </w:pPr>
      <w:r>
        <w:rPr>
          <w:rFonts w:ascii="Georgia" w:hAnsi="Georgia"/>
          <w:b w:val="0"/>
          <w:i/>
          <w:color w:val="333333"/>
          <w:sz w:val="24"/>
          <w:u w:val="none"/>
        </w:rPr>
        <w:t>Cette publication est née d'une envie simple : partager des idées, des histoires et des perspectives qui enrichissent notre quotidien.</w:t>
      </w:r>
    </w:p>
    <w:p>
      <w:pPr>
        <w:spacing w:before="0" w:after="160"/>
        <w:jc w:val="both"/>
      </w:pPr>
      <w:r>
        <w:rPr>
          <w:rFonts w:ascii="Georgia" w:hAnsi="Georgia"/>
          <w:b w:val="0"/>
          <w:i w:val="0"/>
          <w:color w:val="333333"/>
          <w:sz w:val="22"/>
          <w:u w:val="none"/>
        </w:rPr>
        <w:t>Dans un monde en perpétuel mouvement, il est parfois difficile de prendre le recul nécessaire pour analyser les grandes tendances qui façonnent nos sociétés. C'est précisément le rôle que nous souhaitons jouer : celui d'un compagnon de réflexion, d'exploration et d'inspiration.</w:t>
      </w:r>
    </w:p>
    <w:p>
      <w:pPr>
        <w:spacing w:before="0" w:after="160"/>
        <w:jc w:val="both"/>
      </w:pPr>
      <w:r>
        <w:rPr>
          <w:rFonts w:ascii="Georgia" w:hAnsi="Georgia"/>
          <w:b w:val="0"/>
          <w:i w:val="0"/>
          <w:color w:val="333333"/>
          <w:sz w:val="22"/>
          <w:u w:val="none"/>
        </w:rPr>
        <w:t>Chaque numéro abordera des sujets variés — de la culture à l'innovation, du bien-être à la société — avec le souci constant d'apporter de la profondeur et de la nuance à des questions qui nous touchent tous.</w:t>
      </w:r>
    </w:p>
    <w:p>
      <w:pPr>
        <w:spacing w:before="0" w:after="160"/>
        <w:jc w:val="both"/>
      </w:pPr>
      <w:r>
        <w:rPr>
          <w:rFonts w:ascii="Georgia" w:hAnsi="Georgia"/>
          <w:b w:val="0"/>
          <w:i w:val="0"/>
          <w:color w:val="333333"/>
          <w:sz w:val="22"/>
          <w:u w:val="none"/>
        </w:rPr>
        <w:t>Nous espérons que ces pages sauront éveiller votre curiosité, provoquer des débats constructifs et, pourquoi pas, vous donner envie d'agir à votre échelle.</w:t>
      </w:r>
    </w:p>
    <w:p>
      <w:pPr>
        <w:spacing w:before="0" w:after="160"/>
        <w:jc w:val="both"/>
      </w:pPr>
      <w:r>
        <w:rPr>
          <w:rFonts w:ascii="Georgia" w:hAnsi="Georgia"/>
          <w:b w:val="0"/>
          <w:i w:val="0"/>
          <w:color w:val="333333"/>
          <w:sz w:val="22"/>
          <w:u w:val="none"/>
        </w:rPr>
        <w:t>Bonne lecture !</w:t>
      </w:r>
    </w:p>
    <w:p>
      <w:pPr>
        <w:spacing w:before="80" w:after="0"/>
      </w:pPr>
      <w:r>
        <w:rPr>
          <w:rFonts w:ascii="Calibri" w:hAnsi="Calibri"/>
          <w:b w:val="0"/>
          <w:i/>
          <w:color w:val="777777"/>
          <w:sz w:val="20"/>
          <w:u w:val="none"/>
        </w:rPr>
        <w:t>— La Rédaction</w:t>
      </w:r>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DOSSIER</w:t>
      </w:r>
    </w:p>
    <w:p>
      <w:pPr>
        <w:spacing w:before="0" w:after="200"/>
        <w:jc w:val="left"/>
      </w:pPr>
      <w:r>
        <w:rPr>
          <w:rFonts w:ascii="Georgia" w:hAnsi="Georgia"/>
          <w:b/>
          <w:i w:val="0"/>
          <w:color w:val="1A1A2E"/>
          <w:sz w:val="52"/>
          <w:u w:val="none"/>
        </w:rPr>
        <w:t>Comprendre le monde de demain</w:t>
      </w:r>
    </w:p>
    <w:p>
      <w:pPr>
        <w:spacing w:before="80" w:after="240"/>
        <w:ind w:left="340"/>
        <w:jc w:val="left"/>
        <w:pBdr>
          <w:left w:val="single" w:sz="18" w:space="4" w:color="E2B96F"/>
        </w:pBdr>
      </w:pPr>
      <w:r>
        <w:rPr>
          <w:rFonts w:ascii="Georgia" w:hAnsi="Georgia"/>
          <w:b w:val="0"/>
          <w:i/>
          <w:color w:val="333333"/>
          <w:sz w:val="24"/>
          <w:u w:val="none"/>
        </w:rPr>
        <w:t>Crise climatique, géopolitique en recomposition, nouvelles puissances émergentes… Quels sont les grands défis qui redessineront la carte du monde dans les prochaines décennies ?</w:t>
      </w:r>
    </w:p>
    <w:p>
      <w:pPr>
        <w:spacing w:before="0" w:after="160"/>
        <w:jc w:val="both"/>
      </w:pPr>
      <w:r>
        <w:rPr>
          <w:rFonts w:ascii="Georgia" w:hAnsi="Georgia"/>
          <w:b w:val="0"/>
          <w:i w:val="0"/>
          <w:color w:val="333333"/>
          <w:sz w:val="22"/>
          <w:u w:val="none"/>
        </w:rPr>
        <w:t>Le XXIe siècle s'annonce comme l'un des plus décisifs de l'histoire humaine. Les transitions — énergétique, démographique, numérique — se superposent et interagissent, créant des dynamiques à la fois inédites et imprévisibles.</w:t>
      </w:r>
    </w:p>
    <w:p>
      <w:pPr>
        <w:spacing w:before="0" w:after="160"/>
        <w:jc w:val="both"/>
      </w:pPr>
      <w:r>
        <w:rPr>
          <w:rFonts w:ascii="Georgia" w:hAnsi="Georgia"/>
          <w:b w:val="0"/>
          <w:i w:val="0"/>
          <w:color w:val="333333"/>
          <w:sz w:val="22"/>
          <w:u w:val="none"/>
        </w:rPr>
        <w:t>La question climatique occupe désormais le premier rang des préoccupations mondiales. Les événements météorologiques extrêmes se multiplient, forçant les gouvernements, les entreprises et les citoyens à reconsidérer leurs modes de vie et de production.</w:t>
      </w:r>
    </w:p>
    <w:p>
      <w:pPr>
        <w:spacing w:before="0" w:after="160"/>
        <w:jc w:val="both"/>
      </w:pPr>
      <w:r>
        <w:rPr>
          <w:rFonts w:ascii="Georgia" w:hAnsi="Georgia"/>
          <w:b w:val="0"/>
          <w:i w:val="0"/>
          <w:color w:val="333333"/>
          <w:sz w:val="22"/>
          <w:u w:val="none"/>
        </w:rPr>
        <w:t>Sur le plan géopolitique, l'ordre mondial multipolaire qui se dessine remet en cause les équilibres établis depuis la fin de la Guerre froide. De nouvelles alliances se nouent, de nouvelles tensions émergent, et les questions de souveraineté — numérique, alimentaire, sanitaire — sont au cœur des débats.</w:t>
      </w:r>
    </w:p>
    <w:p>
      <w:pPr>
        <w:spacing w:before="0" w:after="160"/>
        <w:jc w:val="both"/>
      </w:pPr>
      <w:r>
        <w:rPr>
          <w:rFonts w:ascii="Georgia" w:hAnsi="Georgia"/>
          <w:b w:val="0"/>
          <w:i w:val="0"/>
          <w:color w:val="333333"/>
          <w:sz w:val="22"/>
          <w:u w:val="none"/>
        </w:rPr>
        <w:t>Face à ces défis, des solutions émergent pourtant : technologies vertes, économie circulaire, coopération internationale renforcée. L'avenir n'est pas écrit ; il se construit dans les choix que nous faisons collectivement aujourd'hui.</w:t>
      </w:r>
    </w:p>
    <w:p>
      <w:pPr>
        <w:spacing w:before="200" w:after="200"/>
        <w:ind w:left="340" w:right="340"/>
        <w:jc w:val="left"/>
        <w:pBdr>
          <w:left w:val="single" w:sz="24" w:space="4" w:color="E2B96F"/>
        </w:pBdr>
        <w:shd w:val="clear" w:color="auto" w:fill="F4F2EE"/>
      </w:pPr>
      <w:r>
        <w:rPr>
          <w:rFonts w:ascii="Georgia" w:hAnsi="Georgia"/>
          <w:b w:val="0"/>
          <w:i/>
          <w:color w:val="1A1A2E"/>
          <w:sz w:val="26"/>
          <w:u w:val="none"/>
        </w:rPr>
        <w:t>« L'avenir appartient à ceux qui comprennent que les crises sont aussi des opportunités de transformation. »</w:t>
      </w:r>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INNOVATIONS</w:t>
      </w:r>
    </w:p>
    <w:p>
      <w:pPr>
        <w:spacing w:before="0" w:after="200"/>
        <w:jc w:val="left"/>
      </w:pPr>
      <w:r>
        <w:rPr>
          <w:rFonts w:ascii="Georgia" w:hAnsi="Georgia"/>
          <w:b/>
          <w:i w:val="0"/>
          <w:color w:val="1A1A2E"/>
          <w:sz w:val="52"/>
          <w:u w:val="none"/>
        </w:rPr>
        <w:t>La technologie au service de l'humain</w:t>
      </w:r>
    </w:p>
    <w:p>
      <w:pPr>
        <w:spacing w:before="80" w:after="240"/>
        <w:ind w:left="340"/>
        <w:jc w:val="left"/>
        <w:pBdr>
          <w:left w:val="single" w:sz="18" w:space="4" w:color="E2B96F"/>
        </w:pBdr>
      </w:pPr>
      <w:r>
        <w:rPr>
          <w:rFonts w:ascii="Georgia" w:hAnsi="Georgia"/>
          <w:b w:val="0"/>
          <w:i/>
          <w:color w:val="333333"/>
          <w:sz w:val="24"/>
          <w:u w:val="none"/>
        </w:rPr>
        <w:t>Intelligence artificielle, biotechnologies, énergies renouvelables : comment les innovations récentes transforment-elles notre quotidien et redéfinissent-elles les frontières du possible ?</w:t>
      </w:r>
    </w:p>
    <w:tbl>
      <w:tblPr>
        <w:tblStyle w:val="TableGrid"/>
        <w:tblW w:type="auto" w:w="0"/>
        <w:tblLook w:firstColumn="1" w:firstRow="1" w:lastColumn="0" w:lastRow="0" w:noHBand="0" w:noVBand="1" w:val="04A0"/>
      </w:tblPr>
      <w:tblGrid>
        <w:gridCol w:w="9638"/>
      </w:tblGrid>
      <w:tr>
        <w:tc>
          <w:tcPr>
            <w:tcW w:type="dxa" w:w="9638"/>
            <w:shd w:val="clear" w:color="auto" w:fill="F4F2EE"/>
          </w:tcPr>
          <w:p/>
          <w:p>
            <w:pPr>
              <w:pBdr>
                <w:bottom w:val="single" w:sz="18" w:space="1" w:color="0F3460"/>
              </w:pBdr>
              <w:spacing w:before="0" w:after="0"/>
            </w:pPr>
          </w:p>
          <w:p>
            <w:pPr>
              <w:spacing w:before="80" w:after="80"/>
            </w:pPr>
            <w:r>
              <w:rPr>
                <w:rFonts w:ascii="Calibri" w:hAnsi="Calibri"/>
                <w:b/>
                <w:i w:val="0"/>
                <w:color w:val="1A1A2E"/>
                <w:sz w:val="24"/>
                <w:u w:val="none"/>
              </w:rPr>
              <w:t>🤖  Intelligence artificielle</w:t>
            </w:r>
          </w:p>
          <w:p>
            <w:pPr>
              <w:spacing w:before="0" w:after="120"/>
            </w:pPr>
            <w:r>
              <w:rPr>
                <w:rFonts w:ascii="Georgia" w:hAnsi="Georgia"/>
                <w:b w:val="0"/>
                <w:i w:val="0"/>
                <w:color w:val="333333"/>
                <w:sz w:val="20"/>
                <w:u w:val="none"/>
              </w:rPr>
              <w:t>L'IA générative révolutionne la création de contenu, la médecine diagnostique et l'industrie manufacturière. Si les opportunités sont immenses, les enjeux éthiques restent au cœur des débats.</w:t>
            </w:r>
          </w:p>
        </w:tc>
      </w:tr>
    </w:tbl>
    <w:p/>
    <w:tbl>
      <w:tblPr>
        <w:tblStyle w:val="TableGrid"/>
        <w:tblW w:type="auto" w:w="0"/>
        <w:tblLook w:firstColumn="1" w:firstRow="1" w:lastColumn="0" w:lastRow="0" w:noHBand="0" w:noVBand="1" w:val="04A0"/>
      </w:tblPr>
      <w:tblGrid>
        <w:gridCol w:w="9638"/>
      </w:tblGrid>
      <w:tr>
        <w:tc>
          <w:tcPr>
            <w:tcW w:type="dxa" w:w="9638"/>
            <w:shd w:val="clear" w:color="auto" w:fill="F4F2EE"/>
          </w:tcPr>
          <w:p/>
          <w:p>
            <w:pPr>
              <w:pBdr>
                <w:bottom w:val="single" w:sz="18" w:space="1" w:color="0F3460"/>
              </w:pBdr>
              <w:spacing w:before="0" w:after="0"/>
            </w:pPr>
          </w:p>
          <w:p>
            <w:pPr>
              <w:spacing w:before="80" w:after="80"/>
            </w:pPr>
            <w:r>
              <w:rPr>
                <w:rFonts w:ascii="Calibri" w:hAnsi="Calibri"/>
                <w:b/>
                <w:i w:val="0"/>
                <w:color w:val="1A1A2E"/>
                <w:sz w:val="24"/>
                <w:u w:val="none"/>
              </w:rPr>
              <w:t>🧬  Biotechnologies</w:t>
            </w:r>
          </w:p>
          <w:p>
            <w:pPr>
              <w:spacing w:before="0" w:after="120"/>
            </w:pPr>
            <w:r>
              <w:rPr>
                <w:rFonts w:ascii="Georgia" w:hAnsi="Georgia"/>
                <w:b w:val="0"/>
                <w:i w:val="0"/>
                <w:color w:val="333333"/>
                <w:sz w:val="20"/>
                <w:u w:val="none"/>
              </w:rPr>
              <w:t>L'édition génomique (CRISPR), les thérapies cellulaires et les vaccins à ARNm ouvrent de nouvelles perspectives dans le traitement des maladies rares et des cancers.</w:t>
            </w:r>
          </w:p>
        </w:tc>
      </w:tr>
    </w:tbl>
    <w:p/>
    <w:tbl>
      <w:tblPr>
        <w:tblStyle w:val="TableGrid"/>
        <w:tblW w:type="auto" w:w="0"/>
        <w:tblLook w:firstColumn="1" w:firstRow="1" w:lastColumn="0" w:lastRow="0" w:noHBand="0" w:noVBand="1" w:val="04A0"/>
      </w:tblPr>
      <w:tblGrid>
        <w:gridCol w:w="9638"/>
      </w:tblGrid>
      <w:tr>
        <w:tc>
          <w:tcPr>
            <w:tcW w:type="dxa" w:w="9638"/>
            <w:shd w:val="clear" w:color="auto" w:fill="F4F2EE"/>
          </w:tcPr>
          <w:p/>
          <w:p>
            <w:pPr>
              <w:pBdr>
                <w:bottom w:val="single" w:sz="18" w:space="1" w:color="0F3460"/>
              </w:pBdr>
              <w:spacing w:before="0" w:after="0"/>
            </w:pPr>
          </w:p>
          <w:p>
            <w:pPr>
              <w:spacing w:before="80" w:after="80"/>
            </w:pPr>
            <w:r>
              <w:rPr>
                <w:rFonts w:ascii="Calibri" w:hAnsi="Calibri"/>
                <w:b/>
                <w:i w:val="0"/>
                <w:color w:val="1A1A2E"/>
                <w:sz w:val="24"/>
                <w:u w:val="none"/>
              </w:rPr>
              <w:t>☀️  Énergies vertes</w:t>
            </w:r>
          </w:p>
          <w:p>
            <w:pPr>
              <w:spacing w:before="0" w:after="120"/>
            </w:pPr>
            <w:r>
              <w:rPr>
                <w:rFonts w:ascii="Georgia" w:hAnsi="Georgia"/>
                <w:b w:val="0"/>
                <w:i w:val="0"/>
                <w:color w:val="333333"/>
                <w:sz w:val="20"/>
                <w:u w:val="none"/>
              </w:rPr>
              <w:t>Le coût des énergies renouvelables continue de chuter. Solaire, éolien, hydrogène vert : la transition énergétique s'accélère, portée par des investissements massifs.</w:t>
            </w:r>
          </w:p>
        </w:tc>
      </w:tr>
    </w:tbl>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CULTURE &amp; ART</w:t>
      </w:r>
    </w:p>
    <w:p>
      <w:pPr>
        <w:spacing w:before="0" w:after="200"/>
        <w:jc w:val="left"/>
      </w:pPr>
      <w:r>
        <w:rPr>
          <w:rFonts w:ascii="Georgia" w:hAnsi="Georgia"/>
          <w:b/>
          <w:i w:val="0"/>
          <w:color w:val="1A1A2E"/>
          <w:sz w:val="52"/>
          <w:u w:val="none"/>
        </w:rPr>
        <w:t>Les créateurs qui inspirent</w:t>
      </w:r>
    </w:p>
    <w:p>
      <w:pPr>
        <w:spacing w:before="80" w:after="240"/>
        <w:ind w:left="340"/>
        <w:jc w:val="left"/>
        <w:pBdr>
          <w:left w:val="single" w:sz="18" w:space="4" w:color="E2B96F"/>
        </w:pBdr>
      </w:pPr>
      <w:r>
        <w:rPr>
          <w:rFonts w:ascii="Georgia" w:hAnsi="Georgia"/>
          <w:b w:val="0"/>
          <w:i/>
          <w:color w:val="333333"/>
          <w:sz w:val="24"/>
          <w:u w:val="none"/>
        </w:rPr>
        <w:t>De la peinture numérique aux installations immersives, en passant par la littérature engagée, un panorama des artistes et des œuvres qui marquent notre époque.</w:t>
      </w:r>
    </w:p>
    <w:p>
      <w:pPr>
        <w:spacing w:before="0" w:after="160"/>
        <w:jc w:val="both"/>
      </w:pPr>
      <w:r>
        <w:rPr>
          <w:rFonts w:ascii="Georgia" w:hAnsi="Georgia"/>
          <w:b w:val="0"/>
          <w:i w:val="0"/>
          <w:color w:val="333333"/>
          <w:sz w:val="22"/>
          <w:u w:val="none"/>
        </w:rPr>
        <w:t>L'art contemporain n'a jamais été aussi accessible. Les plateformes numériques ont démocratisé la création et la diffusion, permettant à des artistes du monde entier de toucher des audiences mondiales sans passer par les circuits traditionnels.</w:t>
      </w:r>
    </w:p>
    <w:p>
      <w:pPr>
        <w:spacing w:before="0" w:after="160"/>
        <w:jc w:val="both"/>
      </w:pPr>
      <w:r>
        <w:rPr>
          <w:rFonts w:ascii="Georgia" w:hAnsi="Georgia"/>
          <w:b w:val="0"/>
          <w:i w:val="0"/>
          <w:color w:val="333333"/>
          <w:sz w:val="22"/>
          <w:u w:val="none"/>
        </w:rPr>
        <w:t>Les NFT, bien que controversés, ont ouvert un débat profond sur la valeur, l'originalité et la propriété des œuvres numériques. Certains y voient une révolution ; d'autres, une bulle spéculative. Dans tous les cas, ils ont bousculé l'écosystème.</w:t>
      </w:r>
    </w:p>
    <w:p>
      <w:pPr>
        <w:spacing w:before="0" w:after="160"/>
        <w:jc w:val="both"/>
      </w:pPr>
      <w:r>
        <w:rPr>
          <w:rFonts w:ascii="Georgia" w:hAnsi="Georgia"/>
          <w:b w:val="0"/>
          <w:i w:val="0"/>
          <w:color w:val="333333"/>
          <w:sz w:val="22"/>
          <w:u w:val="none"/>
        </w:rPr>
        <w:t>La littérature francophone connaît elle aussi un renouveau remarquable. De nouveaux auteurs, portés par des maisons d'édition indépendantes et les réseaux sociaux, proposent des récits qui explorent des territoires jusque-là peu représentés.</w:t>
      </w:r>
    </w:p>
    <w:p>
      <w:pPr>
        <w:spacing w:before="0" w:after="160"/>
        <w:jc w:val="both"/>
      </w:pPr>
      <w:r>
        <w:rPr>
          <w:rFonts w:ascii="Georgia" w:hAnsi="Georgia"/>
          <w:b w:val="0"/>
          <w:i w:val="0"/>
          <w:color w:val="333333"/>
          <w:sz w:val="22"/>
          <w:u w:val="none"/>
        </w:rPr>
        <w:t>Le cinéma, quant à lui, se réinvente face à la concurrence des plateformes de streaming. Les formats hybrides — séries-films, documentaires-fictions — brouillent les frontières traditionnelles et enrichissent l'expérience du spectateur.</w:t>
      </w:r>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SOCIÉTÉ</w:t>
      </w:r>
    </w:p>
    <w:p>
      <w:pPr>
        <w:spacing w:before="0" w:after="200"/>
        <w:jc w:val="left"/>
      </w:pPr>
      <w:r>
        <w:rPr>
          <w:rFonts w:ascii="Georgia" w:hAnsi="Georgia"/>
          <w:b/>
          <w:i w:val="0"/>
          <w:color w:val="1A1A2E"/>
          <w:sz w:val="52"/>
          <w:u w:val="none"/>
        </w:rPr>
        <w:t>Nouvelles façons de vivre ensemble</w:t>
      </w:r>
    </w:p>
    <w:p>
      <w:pPr>
        <w:spacing w:before="80" w:after="240"/>
        <w:ind w:left="340"/>
        <w:jc w:val="left"/>
        <w:pBdr>
          <w:left w:val="single" w:sz="18" w:space="4" w:color="E2B96F"/>
        </w:pBdr>
      </w:pPr>
      <w:r>
        <w:rPr>
          <w:rFonts w:ascii="Georgia" w:hAnsi="Georgia"/>
          <w:b w:val="0"/>
          <w:i/>
          <w:color w:val="333333"/>
          <w:sz w:val="24"/>
          <w:u w:val="none"/>
        </w:rPr>
        <w:t>Télétravail, habitat participatif, économie collaborative : comment nos modes de vie et de travail se transforment-ils, et quelles nouvelles formes de lien social inventons-nous ?</w:t>
      </w:r>
    </w:p>
    <w:p>
      <w:pPr>
        <w:spacing w:before="0" w:after="160"/>
        <w:jc w:val="both"/>
      </w:pPr>
      <w:r>
        <w:rPr>
          <w:rFonts w:ascii="Georgia" w:hAnsi="Georgia"/>
          <w:b w:val="0"/>
          <w:i w:val="0"/>
          <w:color w:val="333333"/>
          <w:sz w:val="22"/>
          <w:u w:val="none"/>
        </w:rPr>
        <w:t>La pandémie de Covid-19 a agi comme un accélérateur de tendances déjà à l'œuvre. Le télétravail, marginal avant 2020, est désormais une réalité pour des millions de travailleurs. Cette transformation recompose les rapports entre vie professionnelle et vie personnelle, mais aussi les dynamiques urbaines.</w:t>
      </w:r>
    </w:p>
    <w:p>
      <w:pPr>
        <w:spacing w:before="0" w:after="160"/>
        <w:jc w:val="both"/>
      </w:pPr>
      <w:r>
        <w:rPr>
          <w:rFonts w:ascii="Georgia" w:hAnsi="Georgia"/>
          <w:b w:val="0"/>
          <w:i w:val="0"/>
          <w:color w:val="333333"/>
          <w:sz w:val="22"/>
          <w:u w:val="none"/>
        </w:rPr>
        <w:t>L'habitat participatif et le cohabitat (coliving) connaissent un essor inédit. Partager des espaces communs, mutualiser des ressources, construire une communauté de voisinage : ces pratiques répondent à la fois à des enjeux économiques et à un besoin profond de lien social.</w:t>
      </w:r>
    </w:p>
    <w:p>
      <w:pPr>
        <w:spacing w:before="0" w:after="160"/>
        <w:jc w:val="both"/>
      </w:pPr>
      <w:r>
        <w:rPr>
          <w:rFonts w:ascii="Georgia" w:hAnsi="Georgia"/>
          <w:b w:val="0"/>
          <w:i w:val="0"/>
          <w:color w:val="333333"/>
          <w:sz w:val="22"/>
          <w:u w:val="none"/>
        </w:rPr>
        <w:t>L'économie collaborative, portée par des plateformes numériques, a transformé nos manières de consommer, de se déplacer et d'apprendre. Si ses promesses initiales de partage et de solidarité n'ont pas toujours été tenues, elle a durablement modifié nos comportements.</w:t>
      </w:r>
    </w:p>
    <w:p>
      <w:pPr>
        <w:spacing w:before="0" w:after="160"/>
        <w:jc w:val="both"/>
      </w:pPr>
      <w:r>
        <w:rPr>
          <w:rFonts w:ascii="Georgia" w:hAnsi="Georgia"/>
          <w:b w:val="0"/>
          <w:i w:val="0"/>
          <w:color w:val="333333"/>
          <w:sz w:val="22"/>
          <w:u w:val="none"/>
        </w:rPr>
        <w:t>La question du vivre-ensemble dans des sociétés de plus en plus diverses reste centrale. Comment construire une cohésion sociale tout en célébrant les différences ? C'est l'un des grands défis politiques et culturels de notre temps.</w:t>
      </w:r>
    </w:p>
    <w:p>
      <w:pPr>
        <w:spacing w:before="0" w:after="0"/>
      </w:pPr>
      <w:r>
        <w:br w:type="page"/>
      </w:r>
    </w:p>
    <w:p>
      <w:pPr>
        <w:spacing w:before="0" w:after="160"/>
        <w:jc w:val="left"/>
        <w:pBdr>
          <w:bottom w:val="single" w:sz="18" w:space="1" w:color="1A1A2E"/>
        </w:pBdr>
      </w:pPr>
      <w:r>
        <w:rPr>
          <w:rFonts w:ascii="Calibri" w:hAnsi="Calibri"/>
          <w:b/>
          <w:i w:val="0"/>
          <w:color w:val="1A1A2E"/>
          <w:sz w:val="16"/>
          <w:u w:val="none"/>
        </w:rPr>
        <w:t>BIEN-ÊTRE</w:t>
      </w:r>
    </w:p>
    <w:p>
      <w:pPr>
        <w:spacing w:before="0" w:after="200"/>
        <w:jc w:val="left"/>
      </w:pPr>
      <w:r>
        <w:rPr>
          <w:rFonts w:ascii="Georgia" w:hAnsi="Georgia"/>
          <w:b/>
          <w:i w:val="0"/>
          <w:color w:val="1A1A2E"/>
          <w:sz w:val="52"/>
          <w:u w:val="none"/>
        </w:rPr>
        <w:t>Prendre soin de soi au quotidien</w:t>
      </w:r>
    </w:p>
    <w:p>
      <w:pPr>
        <w:spacing w:before="80" w:after="240"/>
        <w:ind w:left="340"/>
        <w:jc w:val="left"/>
        <w:pBdr>
          <w:left w:val="single" w:sz="18" w:space="4" w:color="E2B96F"/>
        </w:pBdr>
      </w:pPr>
      <w:r>
        <w:rPr>
          <w:rFonts w:ascii="Georgia" w:hAnsi="Georgia"/>
          <w:b w:val="0"/>
          <w:i/>
          <w:color w:val="333333"/>
          <w:sz w:val="24"/>
          <w:u w:val="none"/>
        </w:rPr>
        <w:t>Dans un monde hyperconnecté et souvent stressant, comment trouver des équilibres durables pour notre santé physique, mentale et émotionnelle ?</w:t>
      </w:r>
    </w:p>
    <w:tbl>
      <w:tblPr>
        <w:tblStyle w:val="TableGrid"/>
        <w:tblW w:type="auto" w:w="0"/>
        <w:tblLook w:firstColumn="1" w:firstRow="1" w:lastColumn="0" w:lastRow="0" w:noHBand="0" w:noVBand="1" w:val="04A0"/>
      </w:tblPr>
      <w:tblGrid>
        <w:gridCol w:w="4819"/>
        <w:gridCol w:w="4819"/>
      </w:tblGrid>
      <w:tr>
        <w:tc>
          <w:tcPr>
            <w:tcW w:type="dxa" w:w="907"/>
            <w:shd w:val="clear" w:color="auto" w:fill="FAF9F7"/>
          </w:tcPr>
          <w:p/>
          <w:p>
            <w:pPr>
              <w:spacing w:before="160" w:after="160"/>
              <w:jc w:val="center"/>
            </w:pPr>
            <w:r>
              <w:rPr>
                <w:rFonts w:ascii="Calibri" w:hAnsi="Calibri"/>
                <w:b/>
                <w:i w:val="0"/>
                <w:color w:val="E2B96F"/>
                <w:sz w:val="40"/>
                <w:u w:val="none"/>
              </w:rPr>
              <w:t>01</w:t>
            </w:r>
          </w:p>
        </w:tc>
        <w:tc>
          <w:tcPr>
            <w:tcW w:type="dxa" w:w="4819"/>
            <w:shd w:val="clear" w:color="auto" w:fill="FAF9F7"/>
          </w:tcPr>
          <w:p/>
          <w:p>
            <w:pPr>
              <w:spacing w:before="120" w:after="40"/>
            </w:pPr>
            <w:r>
              <w:rPr>
                <w:rFonts w:ascii="Calibri" w:hAnsi="Calibri"/>
                <w:b/>
                <w:i w:val="0"/>
                <w:color w:val="1A1A2E"/>
                <w:sz w:val="22"/>
                <w:u w:val="none"/>
              </w:rPr>
              <w:t>Pratiquer la déconnexion</w:t>
            </w:r>
          </w:p>
          <w:p>
            <w:pPr>
              <w:spacing w:before="0" w:after="120"/>
            </w:pPr>
            <w:r>
              <w:rPr>
                <w:rFonts w:ascii="Georgia" w:hAnsi="Georgia"/>
                <w:b w:val="0"/>
                <w:i w:val="0"/>
                <w:color w:val="333333"/>
                <w:sz w:val="20"/>
                <w:u w:val="none"/>
              </w:rPr>
              <w:t>Réserver des plages horaires sans écrans favorise la concentration, améliore la qualité du sommeil et réduit le stress.</w:t>
            </w:r>
          </w:p>
        </w:tc>
      </w:tr>
    </w:tbl>
    <w:p/>
    <w:tbl>
      <w:tblPr>
        <w:tblStyle w:val="TableGrid"/>
        <w:tblW w:type="auto" w:w="0"/>
        <w:tblLook w:firstColumn="1" w:firstRow="1" w:lastColumn="0" w:lastRow="0" w:noHBand="0" w:noVBand="1" w:val="04A0"/>
      </w:tblPr>
      <w:tblGrid>
        <w:gridCol w:w="4819"/>
        <w:gridCol w:w="4819"/>
      </w:tblGrid>
      <w:tr>
        <w:tc>
          <w:tcPr>
            <w:tcW w:type="dxa" w:w="907"/>
            <w:shd w:val="clear" w:color="auto" w:fill="FAF9F7"/>
          </w:tcPr>
          <w:p/>
          <w:p>
            <w:pPr>
              <w:spacing w:before="160" w:after="160"/>
              <w:jc w:val="center"/>
            </w:pPr>
            <w:r>
              <w:rPr>
                <w:rFonts w:ascii="Calibri" w:hAnsi="Calibri"/>
                <w:b/>
                <w:i w:val="0"/>
                <w:color w:val="E2B96F"/>
                <w:sz w:val="40"/>
                <w:u w:val="none"/>
              </w:rPr>
              <w:t>02</w:t>
            </w:r>
          </w:p>
        </w:tc>
        <w:tc>
          <w:tcPr>
            <w:tcW w:type="dxa" w:w="4819"/>
            <w:shd w:val="clear" w:color="auto" w:fill="FAF9F7"/>
          </w:tcPr>
          <w:p/>
          <w:p>
            <w:pPr>
              <w:spacing w:before="120" w:after="40"/>
            </w:pPr>
            <w:r>
              <w:rPr>
                <w:rFonts w:ascii="Calibri" w:hAnsi="Calibri"/>
                <w:b/>
                <w:i w:val="0"/>
                <w:color w:val="1A1A2E"/>
                <w:sz w:val="22"/>
                <w:u w:val="none"/>
              </w:rPr>
              <w:t>Bouger chaque jour</w:t>
            </w:r>
          </w:p>
          <w:p>
            <w:pPr>
              <w:spacing w:before="0" w:after="120"/>
            </w:pPr>
            <w:r>
              <w:rPr>
                <w:rFonts w:ascii="Georgia" w:hAnsi="Georgia"/>
                <w:b w:val="0"/>
                <w:i w:val="0"/>
                <w:color w:val="333333"/>
                <w:sz w:val="20"/>
                <w:u w:val="none"/>
              </w:rPr>
              <w:t>Trente minutes d'activité physique quotidienne suffisent pour réduire significativement les risques cardiovasculaires et améliorer l'humeur.</w:t>
            </w:r>
          </w:p>
        </w:tc>
      </w:tr>
    </w:tbl>
    <w:p/>
    <w:tbl>
      <w:tblPr>
        <w:tblStyle w:val="TableGrid"/>
        <w:tblW w:type="auto" w:w="0"/>
        <w:tblLook w:firstColumn="1" w:firstRow="1" w:lastColumn="0" w:lastRow="0" w:noHBand="0" w:noVBand="1" w:val="04A0"/>
      </w:tblPr>
      <w:tblGrid>
        <w:gridCol w:w="4819"/>
        <w:gridCol w:w="4819"/>
      </w:tblGrid>
      <w:tr>
        <w:tc>
          <w:tcPr>
            <w:tcW w:type="dxa" w:w="907"/>
            <w:shd w:val="clear" w:color="auto" w:fill="FAF9F7"/>
          </w:tcPr>
          <w:p/>
          <w:p>
            <w:pPr>
              <w:spacing w:before="160" w:after="160"/>
              <w:jc w:val="center"/>
            </w:pPr>
            <w:r>
              <w:rPr>
                <w:rFonts w:ascii="Calibri" w:hAnsi="Calibri"/>
                <w:b/>
                <w:i w:val="0"/>
                <w:color w:val="E2B96F"/>
                <w:sz w:val="40"/>
                <w:u w:val="none"/>
              </w:rPr>
              <w:t>03</w:t>
            </w:r>
          </w:p>
        </w:tc>
        <w:tc>
          <w:tcPr>
            <w:tcW w:type="dxa" w:w="4819"/>
            <w:shd w:val="clear" w:color="auto" w:fill="FAF9F7"/>
          </w:tcPr>
          <w:p/>
          <w:p>
            <w:pPr>
              <w:spacing w:before="120" w:after="40"/>
            </w:pPr>
            <w:r>
              <w:rPr>
                <w:rFonts w:ascii="Calibri" w:hAnsi="Calibri"/>
                <w:b/>
                <w:i w:val="0"/>
                <w:color w:val="1A1A2E"/>
                <w:sz w:val="22"/>
                <w:u w:val="none"/>
              </w:rPr>
              <w:t>Cultiver la pleine conscience</w:t>
            </w:r>
          </w:p>
          <w:p>
            <w:pPr>
              <w:spacing w:before="0" w:after="120"/>
            </w:pPr>
            <w:r>
              <w:rPr>
                <w:rFonts w:ascii="Georgia" w:hAnsi="Georgia"/>
                <w:b w:val="0"/>
                <w:i w:val="0"/>
                <w:color w:val="333333"/>
                <w:sz w:val="20"/>
                <w:u w:val="none"/>
              </w:rPr>
              <w:t>La méditation de pleine conscience, même pratiquée cinq minutes par jour, aide à mieux gérer les émotions et à renforcer la résilience.</w:t>
            </w:r>
          </w:p>
        </w:tc>
      </w:tr>
    </w:tbl>
    <w:p/>
    <w:tbl>
      <w:tblPr>
        <w:tblStyle w:val="TableGrid"/>
        <w:tblW w:type="auto" w:w="0"/>
        <w:tblLook w:firstColumn="1" w:firstRow="1" w:lastColumn="0" w:lastRow="0" w:noHBand="0" w:noVBand="1" w:val="04A0"/>
      </w:tblPr>
      <w:tblGrid>
        <w:gridCol w:w="4819"/>
        <w:gridCol w:w="4819"/>
      </w:tblGrid>
      <w:tr>
        <w:tc>
          <w:tcPr>
            <w:tcW w:type="dxa" w:w="907"/>
            <w:shd w:val="clear" w:color="auto" w:fill="FAF9F7"/>
          </w:tcPr>
          <w:p/>
          <w:p>
            <w:pPr>
              <w:spacing w:before="160" w:after="160"/>
              <w:jc w:val="center"/>
            </w:pPr>
            <w:r>
              <w:rPr>
                <w:rFonts w:ascii="Calibri" w:hAnsi="Calibri"/>
                <w:b/>
                <w:i w:val="0"/>
                <w:color w:val="E2B96F"/>
                <w:sz w:val="40"/>
                <w:u w:val="none"/>
              </w:rPr>
              <w:t>04</w:t>
            </w:r>
          </w:p>
        </w:tc>
        <w:tc>
          <w:tcPr>
            <w:tcW w:type="dxa" w:w="4819"/>
            <w:shd w:val="clear" w:color="auto" w:fill="FAF9F7"/>
          </w:tcPr>
          <w:p/>
          <w:p>
            <w:pPr>
              <w:spacing w:before="120" w:after="40"/>
            </w:pPr>
            <w:r>
              <w:rPr>
                <w:rFonts w:ascii="Calibri" w:hAnsi="Calibri"/>
                <w:b/>
                <w:i w:val="0"/>
                <w:color w:val="1A1A2E"/>
                <w:sz w:val="22"/>
                <w:u w:val="none"/>
              </w:rPr>
              <w:t>Soigner son alimentation</w:t>
            </w:r>
          </w:p>
          <w:p>
            <w:pPr>
              <w:spacing w:before="0" w:after="120"/>
            </w:pPr>
            <w:r>
              <w:rPr>
                <w:rFonts w:ascii="Georgia" w:hAnsi="Georgia"/>
                <w:b w:val="0"/>
                <w:i w:val="0"/>
                <w:color w:val="333333"/>
                <w:sz w:val="20"/>
                <w:u w:val="none"/>
              </w:rPr>
              <w:t>Un régime varié, riche en végétaux et pauvre en aliments ultra-transformés, est le socle d'une bonne santé à long terme.</w:t>
            </w:r>
          </w:p>
        </w:tc>
      </w:tr>
    </w:tbl>
    <w:p/>
    <w:tbl>
      <w:tblPr>
        <w:tblStyle w:val="TableGrid"/>
        <w:tblW w:type="auto" w:w="0"/>
        <w:tblLook w:firstColumn="1" w:firstRow="1" w:lastColumn="0" w:lastRow="0" w:noHBand="0" w:noVBand="1" w:val="04A0"/>
      </w:tblPr>
      <w:tblGrid>
        <w:gridCol w:w="4819"/>
        <w:gridCol w:w="4819"/>
      </w:tblGrid>
      <w:tr>
        <w:tc>
          <w:tcPr>
            <w:tcW w:type="dxa" w:w="907"/>
            <w:shd w:val="clear" w:color="auto" w:fill="FAF9F7"/>
          </w:tcPr>
          <w:p/>
          <w:p>
            <w:pPr>
              <w:spacing w:before="160" w:after="160"/>
              <w:jc w:val="center"/>
            </w:pPr>
            <w:r>
              <w:rPr>
                <w:rFonts w:ascii="Calibri" w:hAnsi="Calibri"/>
                <w:b/>
                <w:i w:val="0"/>
                <w:color w:val="E2B96F"/>
                <w:sz w:val="40"/>
                <w:u w:val="none"/>
              </w:rPr>
              <w:t>05</w:t>
            </w:r>
          </w:p>
        </w:tc>
        <w:tc>
          <w:tcPr>
            <w:tcW w:type="dxa" w:w="4819"/>
            <w:shd w:val="clear" w:color="auto" w:fill="FAF9F7"/>
          </w:tcPr>
          <w:p/>
          <w:p>
            <w:pPr>
              <w:spacing w:before="120" w:after="40"/>
            </w:pPr>
            <w:r>
              <w:rPr>
                <w:rFonts w:ascii="Calibri" w:hAnsi="Calibri"/>
                <w:b/>
                <w:i w:val="0"/>
                <w:color w:val="1A1A2E"/>
                <w:sz w:val="22"/>
                <w:u w:val="none"/>
              </w:rPr>
              <w:t>Entretenir ses liens sociaux</w:t>
            </w:r>
          </w:p>
          <w:p>
            <w:pPr>
              <w:spacing w:before="0" w:after="120"/>
            </w:pPr>
            <w:r>
              <w:rPr>
                <w:rFonts w:ascii="Georgia" w:hAnsi="Georgia"/>
                <w:b w:val="0"/>
                <w:i w:val="0"/>
                <w:color w:val="333333"/>
                <w:sz w:val="20"/>
                <w:u w:val="none"/>
              </w:rPr>
              <w:t>Les relations sociales de qualité sont l'un des meilleurs prédicteurs de longévité et de bien-être mental selon de nombreuses études.</w:t>
            </w:r>
          </w:p>
        </w:tc>
      </w:tr>
    </w:tbl>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0F3460"/>
          </w:tcPr>
          <w:p/>
          <w:p>
            <w:pPr>
              <w:spacing w:before="0" w:after="800"/>
            </w:pPr>
          </w:p>
          <w:p>
            <w:pPr>
              <w:spacing w:before="0" w:after="120"/>
              <w:jc w:val="center"/>
            </w:pPr>
            <w:r>
              <w:rPr>
                <w:rFonts w:ascii="Georgia" w:hAnsi="Georgia"/>
                <w:b/>
                <w:i w:val="0"/>
                <w:color w:val="FFFFFF"/>
                <w:sz w:val="84"/>
                <w:u w:val="none"/>
              </w:rPr>
              <w:t>MAGAZINE</w:t>
            </w:r>
          </w:p>
          <w:p>
            <w:pPr>
              <w:spacing w:before="0" w:after="360"/>
              <w:jc w:val="center"/>
            </w:pPr>
            <w:r>
              <w:rPr>
                <w:rFonts w:ascii="Calibri" w:hAnsi="Calibri"/>
                <w:b w:val="0"/>
                <w:i w:val="0"/>
                <w:color w:val="AAAAAA"/>
                <w:sz w:val="20"/>
                <w:u w:val="none"/>
              </w:rPr>
              <w:t>Culture  ·  Société  ·  Innovation  ·  Lifestyle</w:t>
            </w:r>
          </w:p>
          <w:p>
            <w:pPr>
              <w:spacing w:before="0" w:after="800"/>
              <w:jc w:val="center"/>
            </w:pPr>
            <w:r>
              <w:rPr>
                <w:rFonts w:ascii="Calibri" w:hAnsi="Calibri"/>
                <w:b w:val="0"/>
                <w:i w:val="0"/>
                <w:color w:val="E2B96F"/>
                <w:sz w:val="22"/>
                <w:u w:val="none"/>
              </w:rPr>
              <w:t>Prochain numéro — Été 2026</w:t>
            </w:r>
          </w:p>
          <w:p>
            <w:pPr>
              <w:pBdr>
                <w:bottom w:val="single" w:sz="4" w:space="1" w:color="FFFFFF40"/>
              </w:pBdr>
              <w:spacing w:before="0" w:after="120"/>
            </w:pPr>
          </w:p>
          <w:p>
            <w:pPr>
              <w:spacing w:before="0" w:after="0"/>
              <w:jc w:val="center"/>
            </w:pPr>
            <w:r>
              <w:rPr>
                <w:rFonts w:ascii="Calibri" w:hAnsi="Calibri"/>
                <w:b w:val="0"/>
                <w:i w:val="0"/>
                <w:color w:val="777777"/>
                <w:sz w:val="16"/>
                <w:u w:val="none"/>
              </w:rPr>
              <w:t>www.magazine.io   |   contact@magazine.io   |   ISSN 0000-0000</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