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481" w:type="dxa"/>
              <w:bottom w:w="340" w:type="dxa"/>
              <w:left w:w="850" w:type="dxa"/>
              <w:right w:w="113" w:type="dxa"/>
            </w:tcMar>
          </w:tcPr>
          <w:p>
            <w:pPr>
              <w:bidi/>
            </w:pPr>
            <w:r>
              <w:rPr>
                <w:rFonts w:cs="Amiri"/>
              </w:rP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481" w:type="dxa"/>
              <w:bottom w:w="340" w:type="dxa"/>
              <w:left w:w="113" w:type="dxa"/>
              <w:right w:w="850" w:type="dxa"/>
            </w:tcMar>
          </w:tcPr>
          <w:p>
            <w:pPr>
              <w:bidi/>
              <w:jc w:val="right"/>
            </w:pPr>
            <w:r>
              <w:rPr>
                <w:rFonts w:cs="Amiri"/>
              </w:rP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bidi/>
              <w:spacing w:after="0"/>
              <w:jc w:val="center"/>
            </w:pPr>
            <w:r>
              <w:rPr>
                <w:rFonts w:cs="Amiri"/>
              </w:rPr>
              <w:t>{{ cover_hero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pPr>
              <w:bidi/>
            </w:pPr>
          </w:p>
          <w:tbl>
            <w:tblPr>
              <w:bidiVisual/>
              <w:tblW w:type="pct" w:w="5000"/>
              <w:tblLook w:firstColumn="1" w:firstRow="1" w:lastColumn="0" w:lastRow="0" w:noHBand="0" w:noVBand="1" w:val="04A0"/>
            </w:tblPr>
            <w:tblGrid>
              <w:gridCol w:w="2256"/>
              <w:gridCol w:w="2256"/>
              <w:gridCol w:w="2256"/>
              <w:gridCol w:w="2256"/>
            </w:tblGrid>
            <w:tr>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ACCURATE</w:t>
                  </w:r>
                </w:p>
                <w:p>
                  <w:pPr>
                    <w:bidi/>
                    <w:spacing w:before="0" w:after="0"/>
                    <w:jc w:val="center"/>
                  </w:pPr>
                  <w:r>
                    <w:rPr>
                      <w:rFonts w:cs="Amiri"/>
                      <w:b w:val="0"/>
                      <w:i w:val="0"/>
                      <w:color w:val="1F1F1F"/>
                      <w:sz w:val="16"/>
                      <w:szCs w:val="16"/>
                    </w:rPr>
                    <w:t>Precision monitoring</w:t>
                  </w:r>
                </w:p>
                <w:p>
                  <w:pPr>
                    <w:bidi/>
                    <w:spacing w:before="0" w:after="0"/>
                    <w:jc w:val="center"/>
                  </w:pPr>
                  <w:r>
                    <w:rPr>
                      <w:rFonts w:cs="Amiri"/>
                      <w:b w:val="0"/>
                      <w:i w:val="0"/>
                      <w:color w:val="1F1F1F"/>
                      <w:sz w:val="16"/>
                      <w:szCs w:val="16"/>
                    </w:rPr>
                    <w:t>with calibrated instruments</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RELIABLE</w:t>
                  </w:r>
                </w:p>
                <w:p>
                  <w:pPr>
                    <w:bidi/>
                    <w:spacing w:before="0" w:after="0"/>
                    <w:jc w:val="center"/>
                  </w:pPr>
                  <w:r>
                    <w:rPr>
                      <w:rFonts w:cs="Amiri"/>
                      <w:b w:val="0"/>
                      <w:i w:val="0"/>
                      <w:color w:val="1F1F1F"/>
                      <w:sz w:val="16"/>
                      <w:szCs w:val="16"/>
                    </w:rPr>
                    <w:t>Data you can trust,</w:t>
                  </w:r>
                </w:p>
                <w:p>
                  <w:pPr>
                    <w:bidi/>
                    <w:spacing w:before="0" w:after="0"/>
                    <w:jc w:val="center"/>
                  </w:pPr>
                  <w:r>
                    <w:rPr>
                      <w:rFonts w:cs="Amiri"/>
                      <w:b w:val="0"/>
                      <w:i w:val="0"/>
                      <w:color w:val="1F1F1F"/>
                      <w:sz w:val="16"/>
                      <w:szCs w:val="16"/>
                    </w:rPr>
                    <w:t>anytime, anywhere</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COMPLIANT</w:t>
                  </w:r>
                </w:p>
                <w:p>
                  <w:pPr>
                    <w:bidi/>
                    <w:spacing w:before="0" w:after="0"/>
                    <w:jc w:val="center"/>
                  </w:pPr>
                  <w:r>
                    <w:rPr>
                      <w:rFonts w:cs="Amiri"/>
                      <w:b w:val="0"/>
                      <w:i w:val="0"/>
                      <w:color w:val="1F1F1F"/>
                      <w:sz w:val="16"/>
                      <w:szCs w:val="16"/>
                    </w:rPr>
                    <w:t>Aligned with KSA NCEC</w:t>
                  </w:r>
                </w:p>
                <w:p>
                  <w:pPr>
                    <w:bidi/>
                    <w:spacing w:before="0" w:after="0"/>
                    <w:jc w:val="center"/>
                  </w:pPr>
                  <w:r>
                    <w:rPr>
                      <w:rFonts w:cs="Amiri"/>
                      <w:b w:val="0"/>
                      <w:i w:val="0"/>
                      <w:color w:val="1F1F1F"/>
                      <w:sz w:val="16"/>
                      <w:szCs w:val="16"/>
                    </w:rPr>
                    <w:t>&amp; international standards</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SUSTAINABLE</w:t>
                  </w:r>
                </w:p>
                <w:p>
                  <w:pPr>
                    <w:bidi/>
                    <w:spacing w:before="0" w:after="0"/>
                    <w:jc w:val="center"/>
                  </w:pPr>
                  <w:r>
                    <w:rPr>
                      <w:rFonts w:cs="Amiri"/>
                      <w:b w:val="0"/>
                      <w:i w:val="0"/>
                      <w:color w:val="1F1F1F"/>
                      <w:sz w:val="16"/>
                      <w:szCs w:val="16"/>
                    </w:rPr>
                    <w:t>Supporting a cleaner</w:t>
                  </w:r>
                </w:p>
                <w:p>
                  <w:pPr>
                    <w:bidi/>
                    <w:spacing w:before="0" w:after="0"/>
                    <w:jc w:val="center"/>
                  </w:pPr>
                  <w:r>
                    <w:rPr>
                      <w:rFonts w:cs="Amiri"/>
                      <w:b w:val="0"/>
                      <w:i w:val="0"/>
                      <w:color w:val="1F1F1F"/>
                      <w:sz w:val="16"/>
                      <w:szCs w:val="16"/>
                    </w:rPr>
                    <w:t>and healthier future</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98" w:type="dxa"/>
              <w:bottom w:w="198" w:type="dxa"/>
              <w:left w:w="850" w:type="dxa"/>
              <w:right w:w="850" w:type="dxa"/>
            </w:tcMar>
          </w:tcPr>
          <w:p>
            <w:pPr>
              <w:bidi/>
            </w:pPr>
          </w:p>
          <w:tbl>
            <w:tblPr>
              <w:bidiVisual/>
              <w:tblStyle w:val="TableGrid"/>
              <w:tblW w:type="pct" w:w="5000"/>
              <w:tblLook w:firstColumn="1" w:firstRow="1" w:lastColumn="0" w:lastRow="0" w:noHBand="0" w:noVBand="1" w:val="04A0"/>
            </w:tblPr>
            <w:tblGrid>
              <w:gridCol w:w="4513"/>
              <w:gridCol w:w="4513"/>
            </w:tblGrid>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CLIENT</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client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SITE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site_name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MONITORING PERIOD</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monitoring_window_text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REPORT NUMBER</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report_number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REVISION / DATE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revision }}   |   {{ reporting_date }}</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396" w:type="dxa"/>
              <w:bottom w:w="340" w:type="dxa"/>
              <w:left w:w="850" w:type="dxa"/>
              <w:right w:w="850" w:type="dxa"/>
            </w:tcMar>
          </w:tcPr>
          <w:p>
            <w:pPr>
              <w:bidi/>
              <w:spacing w:before="0" w:after="0"/>
              <w:jc w:val="right"/>
            </w:pPr>
            <w:r>
              <w:rPr>
                <w:rFonts w:cs="Amiri"/>
                <w:b/>
                <w:i w:val="0"/>
                <w:color w:val="2F7D32"/>
                <w:sz w:val="19"/>
                <w:szCs w:val="19"/>
              </w:rPr>
              <w:t>PREPARED BY</w:t>
            </w:r>
          </w:p>
          <w:p>
            <w:pPr>
              <w:bidi/>
              <w:spacing w:before="40" w:after="20"/>
              <w:jc w:val="right"/>
            </w:pPr>
            <w:r>
              <w:rPr>
                <w:rFonts w:cs="Amiri"/>
                <w:b/>
                <w:i w:val="0"/>
                <w:color w:val="0F3D6E"/>
                <w:sz w:val="32"/>
                <w:szCs w:val="32"/>
              </w:rPr>
              <w:t>{{ provider }}</w:t>
            </w:r>
          </w:p>
          <w:p>
            <w:pPr>
              <w:bidi/>
              <w:spacing w:before="0" w:after="120"/>
              <w:jc w:val="right"/>
            </w:pPr>
            <w:r>
              <w:rPr>
                <w:rFonts w:cs="Amiri"/>
                <w:b w:val="0"/>
                <w:i w:val="0"/>
                <w:color w:val="2F7D32"/>
                <w:sz w:val="20"/>
                <w:szCs w:val="20"/>
              </w:rPr>
              <w:t>Environmental Consultant</w:t>
            </w:r>
          </w:p>
          <w:p>
            <w:pPr>
              <w:bidi/>
              <w:spacing w:before="0" w:after="20"/>
              <w:jc w:val="right"/>
            </w:pPr>
            <w:r>
              <w:rPr>
                <w:rFonts w:cs="Amiri"/>
                <w:b w:val="0"/>
                <w:i/>
                <w:color w:val="6B6B6B"/>
                <w:sz w:val="17"/>
                <w:szCs w:val="17"/>
              </w:rPr>
              <w:t>Accredited by the National Center for Environmental Compliance (NCEC)</w:t>
            </w:r>
          </w:p>
          <w:p>
            <w:pPr>
              <w:bidi/>
              <w:spacing w:before="0" w:after="0"/>
              <w:jc w:val="right"/>
            </w:pPr>
            <w:r>
              <w:rPr>
                <w:rFonts w:cs="Amiri"/>
                <w:b w:val="0"/>
                <w:i/>
                <w:color w:val="6B6B6B"/>
                <w:sz w:val="17"/>
                <w:szCs w:val="17"/>
              </w:rPr>
              <w:t>Reported to KSA NCEC 2020 ambient air quality standards</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283" w:type="dxa"/>
              <w:bottom w:w="283" w:type="dxa"/>
              <w:left w:w="850" w:type="dxa"/>
              <w:right w:w="850" w:type="dxa"/>
            </w:tcMar>
          </w:tcPr>
          <w:p>
            <w:pPr>
              <w:bidi/>
              <w:spacing w:before="0" w:after="0"/>
              <w:jc w:val="right"/>
            </w:pPr>
            <w:r>
              <w:rPr>
                <w:rFonts w:cs="Amiri"/>
                <w:b/>
                <w:i w:val="0"/>
                <w:color w:val="FFFFFF"/>
                <w:sz w:val="21"/>
                <w:szCs w:val="21"/>
              </w:rPr>
              <w:t>{{ provider_legal_name }}</w:t>
            </w:r>
          </w:p>
          <w:p>
            <w:pPr>
              <w:bidi/>
              <w:spacing w:before="60" w:after="0"/>
              <w:jc w:val="right"/>
            </w:pPr>
            <w:r>
              <w:rPr>
                <w:rFonts w:cs="Amiri"/>
                <w:b w:val="0"/>
                <w:i w:val="0"/>
                <w:color w:val="C5DAEC"/>
                <w:sz w:val="17"/>
                <w:szCs w:val="17"/>
              </w:rPr>
              <w:t>Tel. {{ provider_tel }}    |    Fax {{ provider_fax }}    |    {{ provider_email }}    |    {{ provider_address }}</w:t>
            </w:r>
          </w:p>
        </w:tc>
      </w:tr>
    </w:tbl>
    <w:p>
      <w:pPr>
        <w:bidi/>
        <w:sectPr>
          <w:headerReference w:type="default" r:id="rId17"/>
          <w:footerReference w:type="default" r:id="rId18"/>
          <w:headerReference w:type="first" r:id="rId19"/>
          <w:footerReference w:type="first" r:id="rId20"/>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spacing w:after="80"/>
        <w:jc w:val="right"/>
      </w:pPr>
    </w:p>
    <w:p>
      <w:pPr>
        <w:bidi/>
        <w:spacing w:after="40"/>
        <w:jc w:val="right"/>
      </w:pPr>
      <w:r>
        <w:rPr>
          <w:rFonts w:cs="Amiri"/>
          <w:b/>
          <w:i w:val="0"/>
          <w:color w:val="0F3D6E"/>
          <w:sz w:val="22"/>
          <w:szCs w:val="22"/>
        </w:rPr>
        <w:t>Key finding</w:t>
      </w:r>
    </w:p>
    <w:p>
      <w:pPr>
        <w:bidi/>
        <w:spacing w:after="160"/>
        <w:jc w:val="both"/>
      </w:pPr>
      <w:r>
        <w:rPr>
          <w:rFonts w:cs="Amiri"/>
          <w:b w:val="0"/>
          <w:i w:val="0"/>
          <w:sz w:val="22"/>
          <w:szCs w:val="22"/>
        </w:rPr>
        <w:t>{{ headline_finding }}</w:t>
      </w:r>
    </w:p>
    <w:p>
      <w:pPr>
        <w:bidi/>
        <w:spacing w:after="0"/>
        <w:jc w:val="right"/>
      </w:pPr>
      <w:r>
        <w:rPr>
          <w:rFonts w:cs="Amiri"/>
          <w:b w:val="0"/>
          <w:i w:val="0"/>
          <w:sz w:val="2"/>
          <w:szCs w:val="2"/>
        </w:rPr>
        <w:t>{%p if site_geometry_text %}</w:t>
      </w:r>
    </w:p>
    <w:p>
      <w:pPr>
        <w:bidi/>
        <w:spacing w:after="160"/>
        <w:jc w:val="both"/>
      </w:pPr>
      <w:r>
        <w:rPr>
          <w:rFonts w:cs="Amiri"/>
          <w:b w:val="0"/>
          <w:i w:val="0"/>
          <w:sz w:val="22"/>
          <w:szCs w:val="22"/>
        </w:rPr>
        <w:t>{{ site_geometry_text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Pr>
        <w:t>Table 6 summarises the compliance status of every monitored pollutant against the applicable NCEC 2020 limits. Detailed results for each pollutant follow in the sections below.</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Pr>
        <w:t>: Compliance Summary against NCEC 2020 Standards</w:t>
      </w:r>
    </w:p>
    <w:tbl>
      <w:tblPr>
        <w:bidiVisual/>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fill="0F3D6E"/>
          </w:tcPr>
          <w:p>
            <w:pPr>
              <w:bidi/>
              <w:jc w:val="center"/>
            </w:pPr>
            <w:r>
              <w:rPr>
                <w:rFonts w:cs="Amiri"/>
                <w:color w:val="FFFFFF"/>
              </w:rPr>
            </w:r>
            <w:r>
              <w:rPr>
                <w:rFonts w:cs="Amiri"/>
                <w:b/>
                <w:i w:val="0"/>
                <w:color w:val="FFFFFF"/>
                <w:sz w:val="17"/>
                <w:szCs w:val="17"/>
              </w:rPr>
              <w:t>POLLUTANT</w:t>
            </w:r>
          </w:p>
        </w:tc>
        <w:tc>
          <w:tcPr>
            <w:tcW w:type="dxa" w:w="1569"/>
            <w:shd w:val="clear" w:fill="0F3D6E"/>
          </w:tcPr>
          <w:p>
            <w:pPr>
              <w:bidi/>
              <w:jc w:val="center"/>
            </w:pPr>
            <w:r>
              <w:rPr>
                <w:rFonts w:cs="Amiri"/>
                <w:color w:val="FFFFFF"/>
              </w:rPr>
            </w:r>
            <w:r>
              <w:rPr>
                <w:rFonts w:cs="Amiri"/>
                <w:b/>
                <w:i w:val="0"/>
                <w:color w:val="FFFFFF"/>
                <w:sz w:val="17"/>
                <w:szCs w:val="17"/>
              </w:rPr>
              <w:t>AVERAGING PERIOD</w:t>
            </w:r>
          </w:p>
        </w:tc>
        <w:tc>
          <w:tcPr>
            <w:tcW w:type="dxa" w:w="1569"/>
            <w:shd w:val="clear" w:fill="0F3D6E"/>
          </w:tcPr>
          <w:p>
            <w:pPr>
              <w:bidi/>
              <w:jc w:val="center"/>
            </w:pPr>
            <w:r>
              <w:rPr>
                <w:rFonts w:cs="Amiri"/>
                <w:color w:val="FFFFFF"/>
              </w:rPr>
            </w:r>
            <w:r>
              <w:rPr>
                <w:rFonts w:cs="Amiri"/>
                <w:b/>
                <w:i w:val="0"/>
                <w:color w:val="FFFFFF"/>
                <w:sz w:val="17"/>
                <w:szCs w:val="17"/>
              </w:rPr>
              <w:t>MEASURED µg/m³</w:t>
            </w:r>
          </w:p>
        </w:tc>
        <w:tc>
          <w:tcPr>
            <w:tcW w:type="dxa" w:w="1569"/>
            <w:shd w:val="clear" w:fill="0F3D6E"/>
          </w:tcPr>
          <w:p>
            <w:pPr>
              <w:bidi/>
              <w:jc w:val="center"/>
            </w:pPr>
            <w:r>
              <w:rPr>
                <w:rFonts w:cs="Amiri"/>
                <w:color w:val="FFFFFF"/>
              </w:rPr>
            </w:r>
            <w:r>
              <w:rPr>
                <w:rFonts w:cs="Amiri"/>
                <w:b/>
                <w:i w:val="0"/>
                <w:color w:val="FFFFFF"/>
                <w:sz w:val="17"/>
                <w:szCs w:val="17"/>
              </w:rPr>
              <w:t>NCEC LIMIT µg/m³</w:t>
            </w:r>
          </w:p>
        </w:tc>
        <w:tc>
          <w:tcPr>
            <w:tcW w:type="dxa" w:w="1569"/>
            <w:shd w:val="clear" w:fill="0F3D6E"/>
          </w:tcPr>
          <w:p>
            <w:pPr>
              <w:bidi/>
              <w:jc w:val="center"/>
            </w:pPr>
            <w:r>
              <w:rPr>
                <w:rFonts w:cs="Amiri"/>
                <w:color w:val="FFFFFF"/>
              </w:rPr>
            </w:r>
            <w:r>
              <w:rPr>
                <w:rFonts w:cs="Amiri"/>
                <w:b/>
                <w:i w:val="0"/>
                <w:color w:val="FFFFFF"/>
                <w:sz w:val="17"/>
                <w:szCs w:val="17"/>
              </w:rPr>
              <w:t>% OF LIMIT</w:t>
            </w:r>
          </w:p>
        </w:tc>
        <w:tc>
          <w:tcPr>
            <w:tcW w:type="dxa" w:w="1569"/>
            <w:shd w:val="clear" w:fill="0F3D6E"/>
          </w:tcPr>
          <w:p>
            <w:pPr>
              <w:bidi/>
              <w:jc w:val="center"/>
            </w:pPr>
            <w:r>
              <w:rPr>
                <w:rFonts w:cs="Amiri"/>
                <w:color w:val="FFFFFF"/>
              </w:rPr>
            </w:r>
            <w:r>
              <w:rPr>
                <w:rFonts w:cs="Amiri"/>
                <w:b/>
                <w:i w:val="0"/>
                <w:color w:val="FFFFFF"/>
                <w:sz w:val="17"/>
                <w:szCs w:val="17"/>
              </w:rPr>
              <w:t>STATUS</w:t>
            </w:r>
          </w:p>
        </w:tc>
      </w:tr>
      <w:tr>
        <w:tc>
          <w:tcPr>
            <w:tcW w:type="dxa" w:w="1569"/>
          </w:tcPr>
          <w:p>
            <w:pPr>
              <w:bidi/>
            </w:pPr>
            <w:r>
              <w:rPr>
                <w:rFonts w:cs="Amiri"/>
              </w:rPr>
              <w:t>{%tr for r in compliance_rows %}</w:t>
            </w:r>
          </w:p>
        </w:tc>
        <w:tc>
          <w:tcPr>
            <w:tcW w:type="dxa" w:w="1569"/>
          </w:tcPr>
          <w:p>
            <w:pPr>
              <w:bidi/>
            </w:pPr>
          </w:p>
        </w:tc>
        <w:tc>
          <w:tcPr>
            <w:tcW w:type="dxa" w:w="1569"/>
          </w:tcPr>
          <w:p>
            <w:pPr>
              <w:bidi/>
            </w:pPr>
          </w:p>
        </w:tc>
        <w:tc>
          <w:tcPr>
            <w:tcW w:type="dxa" w:w="1569"/>
          </w:tcPr>
          <w:p>
            <w:pPr>
              <w:bidi/>
            </w:pPr>
          </w:p>
        </w:tc>
        <w:tc>
          <w:tcPr>
            <w:tcW w:type="dxa" w:w="1569"/>
          </w:tcPr>
          <w:p>
            <w:pPr>
              <w:bidi/>
            </w:pPr>
          </w:p>
        </w:tc>
        <w:tc>
          <w:tcPr>
            <w:tcW w:type="dxa" w:w="1569"/>
          </w:tcPr>
          <w:p>
            <w:pPr>
              <w:bidi/>
            </w:pPr>
          </w:p>
        </w:tc>
      </w:tr>
      <w:tr>
        <w:tc>
          <w:tcPr>
            <w:tcW w:type="dxa" w:w="1569"/>
          </w:tcPr>
          <w:p>
            <w:pPr>
              <w:bidi/>
              <w:jc w:val="right"/>
            </w:pPr>
            <w:r>
              <w:rPr>
                <w:rFonts w:cs="Amiri"/>
              </w:rPr>
            </w:r>
            <w:r>
              <w:rPr>
                <w:rFonts w:cs="Amiri"/>
                <w:b w:val="0"/>
                <w:i w:val="0"/>
                <w:sz w:val="18"/>
                <w:szCs w:val="18"/>
              </w:rPr>
              <w:t>{{ r.pollutant }}</w:t>
            </w:r>
          </w:p>
        </w:tc>
        <w:tc>
          <w:tcPr>
            <w:tcW w:type="dxa" w:w="1569"/>
          </w:tcPr>
          <w:p>
            <w:pPr>
              <w:bidi/>
              <w:jc w:val="center"/>
            </w:pPr>
            <w:r>
              <w:rPr>
                <w:rFonts w:cs="Amiri"/>
              </w:rPr>
            </w:r>
            <w:r>
              <w:rPr>
                <w:rFonts w:cs="Amiri"/>
                <w:b w:val="0"/>
                <w:i w:val="0"/>
                <w:sz w:val="18"/>
                <w:szCs w:val="18"/>
              </w:rPr>
              <w:t>{{ r.period }}</w:t>
            </w:r>
          </w:p>
        </w:tc>
        <w:tc>
          <w:tcPr>
            <w:tcW w:type="dxa" w:w="1569"/>
          </w:tcPr>
          <w:p>
            <w:pPr>
              <w:bidi/>
              <w:jc w:val="center"/>
            </w:pPr>
            <w:r>
              <w:rPr>
                <w:rFonts w:cs="Amiri"/>
              </w:rPr>
            </w:r>
            <w:r>
              <w:rPr>
                <w:rFonts w:cs="Amiri"/>
                <w:b w:val="0"/>
                <w:i w:val="0"/>
                <w:sz w:val="18"/>
                <w:szCs w:val="18"/>
              </w:rPr>
              <w:t>{{ r.measured }}</w:t>
            </w:r>
          </w:p>
        </w:tc>
        <w:tc>
          <w:tcPr>
            <w:tcW w:type="dxa" w:w="1569"/>
          </w:tcPr>
          <w:p>
            <w:pPr>
              <w:bidi/>
              <w:jc w:val="center"/>
            </w:pPr>
            <w:r>
              <w:rPr>
                <w:rFonts w:cs="Amiri"/>
              </w:rPr>
            </w:r>
            <w:r>
              <w:rPr>
                <w:rFonts w:cs="Amiri"/>
                <w:b w:val="0"/>
                <w:i w:val="0"/>
                <w:sz w:val="18"/>
                <w:szCs w:val="18"/>
              </w:rPr>
              <w:t>{{ r.limit }}</w:t>
            </w:r>
          </w:p>
        </w:tc>
        <w:tc>
          <w:tcPr>
            <w:tcW w:type="dxa" w:w="1569"/>
          </w:tcPr>
          <w:p>
            <w:pPr>
              <w:bidi/>
              <w:jc w:val="center"/>
            </w:pPr>
            <w:r>
              <w:rPr>
                <w:rFonts w:cs="Amiri"/>
              </w:rPr>
            </w:r>
            <w:r>
              <w:rPr>
                <w:rFonts w:cs="Amiri"/>
                <w:b w:val="0"/>
                <w:i w:val="0"/>
                <w:sz w:val="18"/>
                <w:szCs w:val="18"/>
              </w:rPr>
              <w:t>{{ r.pct_of_limit }}</w:t>
            </w:r>
          </w:p>
        </w:tc>
        <w:tc>
          <w:tcPr>
            <w:tcW w:type="dxa" w:w="1569"/>
          </w:tcPr>
          <w:p>
            <w:pPr>
              <w:bidi/>
              <w:jc w:val="center"/>
            </w:pPr>
            <w:r>
              <w:rPr>
                <w:rFonts w:cs="Amiri"/>
              </w:rPr>
            </w:r>
            <w:r>
              <w:rPr>
                <w:rFonts w:cs="Amiri"/>
                <w:b w:val="0"/>
                <w:i w:val="0"/>
                <w:sz w:val="18"/>
                <w:szCs w:val="18"/>
              </w:rPr>
              <w:t>{{ r.verdict }}</w:t>
            </w:r>
          </w:p>
        </w:tc>
      </w:tr>
      <w:tr>
        <w:tc>
          <w:tcPr>
            <w:tcW w:type="dxa" w:w="1569"/>
          </w:tcPr>
          <w:p>
            <w:pPr>
              <w:bidi/>
            </w:pPr>
            <w:r>
              <w:rPr>
                <w:rFonts w:cs="Amiri"/>
              </w:rPr>
              <w:t>{%tr endfor %}</w:t>
            </w:r>
          </w:p>
        </w:tc>
        <w:tc>
          <w:tcPr>
            <w:tcW w:type="dxa" w:w="1569"/>
          </w:tcPr>
          <w:p>
            <w:pPr>
              <w:bidi/>
            </w:pPr>
          </w:p>
        </w:tc>
        <w:tc>
          <w:tcPr>
            <w:tcW w:type="dxa" w:w="1569"/>
          </w:tcPr>
          <w:p>
            <w:pPr>
              <w:bidi/>
            </w:pPr>
          </w:p>
        </w:tc>
        <w:tc>
          <w:tcPr>
            <w:tcW w:type="dxa" w:w="1569"/>
          </w:tcPr>
          <w:p>
            <w:pPr>
              <w:bidi/>
            </w:pPr>
          </w:p>
        </w:tc>
        <w:tc>
          <w:tcPr>
            <w:tcW w:type="dxa" w:w="1569"/>
          </w:tcPr>
          <w:p>
            <w:pPr>
              <w:bidi/>
            </w:pPr>
          </w:p>
        </w:tc>
        <w:tc>
          <w:tcPr>
            <w:tcW w:type="dxa" w:w="1569"/>
          </w:tcPr>
          <w:p>
            <w:pPr>
              <w:bidi/>
            </w:pPr>
          </w:p>
        </w:tc>
      </w:tr>
    </w:tbl>
    <w:p>
      <w:pPr>
        <w:bidi/>
        <w:spacing w:after="120"/>
        <w:jc w:val="right"/>
      </w:pPr>
      <w:r>
        <w:rPr>
          <w:rFonts w:cs="Amiri"/>
          <w:b w:val="0"/>
          <w:i/>
          <w:sz w:val="18"/>
          <w:szCs w:val="18"/>
        </w:rPr>
        <w:t>Measured values are the maximum recorded for each averaging period. N/R* denotes a parameter for which data capture did not meet the 75% requirement.</w:t>
      </w:r>
    </w:p>
    <w:p>
      <w:pPr>
        <w:bidi/>
        <w:spacing w:after="120"/>
        <w:jc w:val="right"/>
      </w:pP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Style w:val="Heading1"/>
      </w:pPr>
      <w:r>
        <w:rPr>
          <w:rFonts w:cs="Amiri"/>
          <w:color w:val="1F1F1F"/>
        </w:rPr>
        <w:t>7. Recommendations</w:t>
      </w:r>
    </w:p>
    <w:p>
      <w:pPr>
        <w:bidi/>
        <w:spacing w:after="120"/>
        <w:jc w:val="both"/>
      </w:pPr>
      <w:r>
        <w:rPr>
          <w:rFonts w:cs="Amiri"/>
          <w:b w:val="0"/>
          <w:i w:val="0"/>
          <w:sz w:val="22"/>
          <w:szCs w:val="22"/>
        </w:rPr>
        <w:t>The following recommendations arise from the results of this survey.</w:t>
      </w:r>
    </w:p>
    <w:p>
      <w:pPr>
        <w:bidi/>
      </w:pPr>
      <w:r>
        <w:rPr>
          <w:rFonts w:cs="Amiri"/>
        </w:rPr>
        <w:t>{%p for r in recommendations %}</w:t>
      </w:r>
    </w:p>
    <w:p>
      <w:pPr>
        <w:bidi/>
        <w:pStyle w:val="ListBullet"/>
      </w:pPr>
      <w:r>
        <w:rPr>
          <w:rFonts w:cs="Amiri"/>
        </w:rPr>
        <w:t>{{ r }}</w:t>
      </w:r>
    </w:p>
    <w:p>
      <w:pPr>
        <w:bidi/>
      </w:pPr>
      <w:r>
        <w:rPr>
          <w:rFonts w:cs="Amiri"/>
        </w:rPr>
        <w:t>{%p endfor %}</w:t>
      </w:r>
    </w:p>
    <w:p>
      <w:pPr>
        <w:bidi/>
        <w:pStyle w:val="Heading1"/>
      </w:pPr>
      <w:r>
        <w:rPr>
          <w:rFonts w:cs="Amiri"/>
          <w:color w:val="1F1F1F"/>
        </w:rPr>
        <w:t>8. Measurement Uncertainty</w:t>
      </w:r>
    </w:p>
    <w:p>
      <w:pPr>
        <w:bidi/>
        <w:spacing w:after="120"/>
        <w:jc w:val="both"/>
      </w:pPr>
      <w:r>
        <w:rPr>
          <w:rFonts w:cs="Amiri"/>
          <w:b w:val="0"/>
          <w:i w:val="0"/>
          <w:sz w:val="22"/>
          <w:szCs w:val="22"/>
        </w:rPr>
        <w:t>{{ uncertainty_text }}</w:t>
      </w:r>
    </w:p>
    <w:p>
      <w:pPr>
        <w:bidi/>
        <w:pStyle w:val="Heading1"/>
      </w:pPr>
      <w:r>
        <w:rPr>
          <w:rFonts w:cs="Amiri"/>
          <w:color w:val="1F1F1F"/>
        </w:rPr>
        <w:t>9. Limitations</w:t>
      </w:r>
    </w:p>
    <w:p>
      <w:pPr>
        <w:bidi/>
      </w:pPr>
      <w:r>
        <w:rPr>
          <w:rFonts w:cs="Amiri"/>
        </w:rPr>
        <w:t>{%p for l in limitations %}</w:t>
      </w:r>
    </w:p>
    <w:p>
      <w:pPr>
        <w:bidi/>
        <w:pStyle w:val="ListBullet"/>
      </w:pPr>
      <w:r>
        <w:rPr>
          <w:rFonts w:cs="Amiri"/>
        </w:rPr>
        <w:t>{{ l }}</w:t>
      </w:r>
    </w:p>
    <w:p>
      <w:pPr>
        <w:bidi/>
      </w:pPr>
      <w:r>
        <w:rPr>
          <w:rFonts w:cs="Amiri"/>
        </w:rPr>
        <w:t>{%p endfor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