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Look w:firstColumn="1" w:firstRow="1" w:lastColumn="0" w:lastRow="0" w:noHBand="0" w:noVBand="1" w:val="04A0"/>
      </w:tblPr>
      <w:tblGrid>
        <w:gridCol w:w="4706"/>
        <w:gridCol w:w="4706"/>
      </w:tblGrid>
      <w:tr>
        <w:tc>
          <w:tcPr>
            <w:tcW w:type="dxa" w:w="4706"/>
          </w:tcPr>
          <w:p>
            <w:pPr>
              <w:bidi/>
            </w:pPr>
            <w:r>
              <w:rPr>
                <w:rFonts w:cs="Amiri"/>
              </w:rPr>
              <w:drawing>
                <wp:inline xmlns:a="http://schemas.openxmlformats.org/drawingml/2006/main" xmlns:pic="http://schemas.openxmlformats.org/drawingml/2006/picture">
                  <wp:extent cx="1071429" cy="72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071429" cy="720000"/>
                          </a:xfrm>
                          <a:prstGeom prst="rect"/>
                        </pic:spPr>
                      </pic:pic>
                    </a:graphicData>
                  </a:graphic>
                </wp:inline>
              </w:drawing>
            </w:r>
          </w:p>
        </w:tc>
        <w:tc>
          <w:tcPr>
            <w:tcW w:type="dxa" w:w="4706"/>
          </w:tcPr>
          <w:p>
            <w:pPr>
              <w:bidi/>
              <w:jc w:val="right"/>
            </w:pPr>
            <w:r>
              <w:rPr>
                <w:rFonts w:cs="Amiri"/>
              </w:rPr>
              <w:drawing>
                <wp:inline xmlns:a="http://schemas.openxmlformats.org/drawingml/2006/main" xmlns:pic="http://schemas.openxmlformats.org/drawingml/2006/picture">
                  <wp:extent cx="1028571" cy="72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1028571" cy="720000"/>
                          </a:xfrm>
                          <a:prstGeom prst="rect"/>
                        </pic:spPr>
                      </pic:pic>
                    </a:graphicData>
                  </a:graphic>
                </wp:inline>
              </w:drawing>
            </w:r>
          </w:p>
        </w:tc>
      </w:tr>
    </w:tbl>
    <w:p>
      <w:pPr>
        <w:bidi/>
        <w:spacing w:after="280"/>
        <w:jc w:val="right"/>
      </w:pPr>
    </w:p>
    <w:tbl>
      <w:tblPr>
        <w:bidiVisual/>
        <w:tblW w:type="auto" w:w="0"/>
        <w:jc w:val="center"/>
        <w:tblLayout w:type="fixed"/>
        <w:tblLook w:firstColumn="1" w:firstRow="1" w:lastColumn="0" w:lastRow="0" w:noHBand="0" w:noVBand="1" w:val="04A0"/>
      </w:tblPr>
      <w:tblGrid>
        <w:gridCol w:w="9412"/>
      </w:tblGrid>
      <w:tr>
        <w:tc>
          <w:tcPr>
            <w:tcW w:type="dxa" w:w="9411"/>
            <w:shd w:val="clear" w:fill="0F3D6E"/>
          </w:tcPr>
          <w:p>
            <w:pPr>
              <w:bidi/>
              <w:spacing w:before="320" w:after="0"/>
              <w:jc w:val="center"/>
            </w:pPr>
            <w:r>
              <w:rPr>
                <w:rFonts w:cs="Amiri"/>
                <w:b/>
                <w:color w:val="FFFFFF"/>
                <w:sz w:val="60"/>
                <w:szCs w:val="60"/>
              </w:rPr>
              <w:t>AIR QUALITY</w:t>
            </w:r>
          </w:p>
          <w:p>
            <w:pPr>
              <w:bidi/>
              <w:spacing w:before="0" w:after="0"/>
              <w:jc w:val="center"/>
            </w:pPr>
            <w:r>
              <w:rPr>
                <w:rFonts w:cs="Amiri"/>
                <w:b/>
                <w:color w:val="FFFFFF"/>
                <w:sz w:val="60"/>
                <w:szCs w:val="60"/>
              </w:rPr>
              <w:t>MONITORING REPORT</w:t>
            </w:r>
          </w:p>
          <w:p>
            <w:pPr>
              <w:bidi/>
              <w:spacing w:before="80" w:after="280"/>
              <w:jc w:val="center"/>
            </w:pPr>
            <w:r>
              <w:rPr>
                <w:rFonts w:cs="Amiri"/>
                <w:b w:val="0"/>
                <w:color w:val="BFD9EF"/>
                <w:sz w:val="20"/>
                <w:szCs w:val="20"/>
              </w:rPr>
              <w:t>Ambient Air Quality  ·  KSA NCEC 2020 Standards</w:t>
            </w:r>
          </w:p>
        </w:tc>
      </w:tr>
    </w:tbl>
    <w:tbl>
      <w:tblPr>
        <w:bidiVisual/>
        <w:tblW w:type="auto" w:w="0"/>
        <w:jc w:val="center"/>
        <w:tblLayout w:type="fixed"/>
        <w:tblLook w:firstColumn="1" w:firstRow="1" w:lastColumn="0" w:lastRow="0" w:noHBand="0" w:noVBand="1" w:val="04A0"/>
      </w:tblPr>
      <w:tblGrid>
        <w:gridCol w:w="9412"/>
      </w:tblGrid>
      <w:tr>
        <w:tc>
          <w:tcPr>
            <w:tcW w:type="dxa" w:w="9411"/>
            <w:shd w:val="clear" w:fill="2F9E63"/>
          </w:tcPr>
          <w:p>
            <w:pPr>
              <w:bidi/>
              <w:spacing w:after="0"/>
            </w:pPr>
            <w:r>
              <w:rPr>
                <w:rFonts w:cs="Amiri"/>
                <w:sz w:val="4"/>
                <w:szCs w:val="4"/>
              </w:rPr>
              <w:t xml:space="preserve"> </w:t>
            </w:r>
          </w:p>
        </w:tc>
      </w:tr>
    </w:tbl>
    <w:p>
      <w:pPr>
        <w:bidi/>
        <w:spacing w:after="320"/>
        <w:jc w:val="right"/>
      </w:pPr>
    </w:p>
    <w:p>
      <w:pPr>
        <w:bidi/>
        <w:spacing w:after="40"/>
        <w:jc w:val="center"/>
      </w:pPr>
      <w:r>
        <w:rPr>
          <w:rFonts w:cs="Amiri"/>
          <w:b w:val="0"/>
          <w:i w:val="0"/>
          <w:color w:val="6B6B6B"/>
          <w:sz w:val="24"/>
          <w:szCs w:val="24"/>
        </w:rPr>
        <w:t>prepared for</w:t>
      </w:r>
    </w:p>
    <w:p>
      <w:pPr>
        <w:bidi/>
        <w:spacing w:after="320"/>
        <w:jc w:val="center"/>
      </w:pPr>
      <w:r>
        <w:rPr>
          <w:rFonts w:cs="Amiri"/>
          <w:b/>
          <w:i w:val="0"/>
          <w:color w:val="0F3D6E"/>
          <w:sz w:val="48"/>
          <w:szCs w:val="48"/>
        </w:rPr>
        <w:t>{{ project_name }}</w:t>
      </w:r>
    </w:p>
    <w:p>
      <w:pPr>
        <w:bidi/>
        <w:spacing w:after="0"/>
        <w:jc w:val="right"/>
      </w:pPr>
      <w:r>
        <w:rPr>
          <w:rFonts w:cs="Amiri"/>
          <w:b w:val="0"/>
          <w:i w:val="0"/>
          <w:sz w:val="2"/>
          <w:szCs w:val="2"/>
        </w:rPr>
        <w:t>{%p if cover_photo %}</w:t>
      </w:r>
    </w:p>
    <w:p>
      <w:pPr>
        <w:bidi/>
        <w:spacing w:after="200"/>
        <w:jc w:val="center"/>
      </w:pPr>
      <w:r>
        <w:rPr>
          <w:rFonts w:cs="Amiri"/>
          <w:b w:val="0"/>
          <w:i w:val="0"/>
          <w:sz w:val="22"/>
          <w:szCs w:val="22"/>
        </w:rPr>
        <w:t>{{ cover_photo }}</w:t>
      </w:r>
    </w:p>
    <w:p>
      <w:pPr>
        <w:bidi/>
        <w:spacing w:after="0"/>
        <w:jc w:val="right"/>
      </w:pPr>
      <w:r>
        <w:rPr>
          <w:rFonts w:cs="Amiri"/>
          <w:b w:val="0"/>
          <w:i w:val="0"/>
          <w:sz w:val="2"/>
          <w:szCs w:val="2"/>
        </w:rPr>
        <w:t>{%p endif %}</w:t>
      </w:r>
    </w:p>
    <w:tbl>
      <w:tblPr>
        <w:bidiVisual/>
        <w:tblStyle w:val="TableGrid"/>
        <w:tblW w:type="auto" w:w="0"/>
        <w:jc w:val="center"/>
        <w:tblLook w:firstColumn="1" w:firstRow="1" w:lastColumn="0" w:lastRow="0" w:noHBand="0" w:noVBand="1" w:val="04A0"/>
      </w:tblPr>
      <w:tblGrid>
        <w:gridCol w:w="4706"/>
        <w:gridCol w:w="4706"/>
      </w:tblGrid>
      <w:tr>
        <w:tc>
          <w:tcPr>
            <w:tcW w:type="dxa" w:w="2608"/>
            <w:shd w:val="clear" w:fill="E8F1F9"/>
          </w:tcPr>
          <w:p>
            <w:pPr>
              <w:bidi/>
              <w:jc w:val="right"/>
            </w:pPr>
            <w:r>
              <w:rPr>
                <w:rFonts w:cs="Amiri"/>
                <w:color w:val="0F3D6E"/>
              </w:rPr>
            </w:r>
            <w:r>
              <w:rPr>
                <w:rFonts w:cs="Amiri"/>
                <w:b/>
                <w:i w:val="0"/>
                <w:color w:val="0F3D6E"/>
                <w:sz w:val="20"/>
                <w:szCs w:val="20"/>
                <w:rtl/>
              </w:rPr>
              <w:t>العميل</w:t>
            </w:r>
          </w:p>
        </w:tc>
        <w:tc>
          <w:tcPr>
            <w:tcW w:type="dxa" w:w="6803"/>
          </w:tcPr>
          <w:p>
            <w:pPr>
              <w:bidi/>
              <w:jc w:val="right"/>
            </w:pPr>
            <w:r>
              <w:rPr>
                <w:rFonts w:cs="Amiri"/>
              </w:rPr>
            </w:r>
            <w:r>
              <w:rPr>
                <w:rFonts w:cs="Amiri"/>
                <w:b w:val="0"/>
                <w:i w:val="0"/>
                <w:sz w:val="20"/>
                <w:szCs w:val="20"/>
              </w:rPr>
              <w:t>{{ client }}</w:t>
            </w:r>
          </w:p>
        </w:tc>
      </w:tr>
      <w:tr>
        <w:tc>
          <w:tcPr>
            <w:tcW w:type="dxa" w:w="2608"/>
            <w:shd w:val="clear" w:fill="E8F1F9"/>
          </w:tcPr>
          <w:p>
            <w:pPr>
              <w:bidi/>
              <w:jc w:val="right"/>
            </w:pPr>
            <w:r>
              <w:rPr>
                <w:rFonts w:cs="Amiri"/>
                <w:color w:val="0F3D6E"/>
              </w:rPr>
            </w:r>
            <w:r>
              <w:rPr>
                <w:rFonts w:cs="Amiri"/>
                <w:b/>
                <w:i w:val="0"/>
                <w:color w:val="0F3D6E"/>
                <w:sz w:val="20"/>
                <w:szCs w:val="20"/>
                <w:rtl/>
              </w:rPr>
              <w:t>رقم التقرير</w:t>
            </w:r>
          </w:p>
        </w:tc>
        <w:tc>
          <w:tcPr>
            <w:tcW w:type="dxa" w:w="6803"/>
          </w:tcPr>
          <w:p>
            <w:pPr>
              <w:bidi/>
              <w:jc w:val="right"/>
            </w:pPr>
            <w:r>
              <w:rPr>
                <w:rFonts w:cs="Amiri"/>
              </w:rPr>
            </w:r>
            <w:r>
              <w:rPr>
                <w:rFonts w:cs="Amiri"/>
                <w:b w:val="0"/>
                <w:i w:val="0"/>
                <w:sz w:val="20"/>
                <w:szCs w:val="20"/>
              </w:rPr>
              <w:t>{{ report_number }}</w:t>
            </w:r>
          </w:p>
        </w:tc>
      </w:tr>
      <w:tr>
        <w:tc>
          <w:tcPr>
            <w:tcW w:type="dxa" w:w="2608"/>
            <w:shd w:val="clear" w:fill="E8F1F9"/>
          </w:tcPr>
          <w:p>
            <w:pPr>
              <w:bidi/>
              <w:jc w:val="right"/>
            </w:pPr>
            <w:r>
              <w:rPr>
                <w:rFonts w:cs="Amiri"/>
                <w:color w:val="0F3D6E"/>
              </w:rPr>
            </w:r>
            <w:r>
              <w:rPr>
                <w:rFonts w:cs="Amiri"/>
                <w:b/>
                <w:i w:val="0"/>
                <w:color w:val="0F3D6E"/>
                <w:sz w:val="20"/>
                <w:szCs w:val="20"/>
              </w:rPr>
              <w:t>Monitoring Period</w:t>
            </w:r>
          </w:p>
        </w:tc>
        <w:tc>
          <w:tcPr>
            <w:tcW w:type="dxa" w:w="6803"/>
          </w:tcPr>
          <w:p>
            <w:pPr>
              <w:bidi/>
              <w:jc w:val="right"/>
            </w:pPr>
            <w:r>
              <w:rPr>
                <w:rFonts w:cs="Amiri"/>
              </w:rPr>
            </w:r>
            <w:r>
              <w:rPr>
                <w:rFonts w:cs="Amiri"/>
                <w:b w:val="0"/>
                <w:i w:val="0"/>
                <w:sz w:val="20"/>
                <w:szCs w:val="20"/>
              </w:rPr>
              <w:t>{{ monitoring_window_text }}</w:t>
            </w:r>
          </w:p>
        </w:tc>
      </w:tr>
      <w:tr>
        <w:tc>
          <w:tcPr>
            <w:tcW w:type="dxa" w:w="2608"/>
            <w:shd w:val="clear" w:fill="E8F1F9"/>
          </w:tcPr>
          <w:p>
            <w:pPr>
              <w:bidi/>
              <w:jc w:val="right"/>
            </w:pPr>
            <w:r>
              <w:rPr>
                <w:rFonts w:cs="Amiri"/>
                <w:color w:val="0F3D6E"/>
              </w:rPr>
            </w:r>
            <w:r>
              <w:rPr>
                <w:rFonts w:cs="Amiri"/>
                <w:b/>
                <w:i w:val="0"/>
                <w:color w:val="0F3D6E"/>
                <w:sz w:val="20"/>
                <w:szCs w:val="20"/>
              </w:rPr>
              <w:t>Revision / Date</w:t>
            </w:r>
          </w:p>
        </w:tc>
        <w:tc>
          <w:tcPr>
            <w:tcW w:type="dxa" w:w="6803"/>
          </w:tcPr>
          <w:p>
            <w:pPr>
              <w:bidi/>
              <w:jc w:val="right"/>
            </w:pPr>
            <w:r>
              <w:rPr>
                <w:rFonts w:cs="Amiri"/>
              </w:rPr>
            </w:r>
            <w:r>
              <w:rPr>
                <w:rFonts w:cs="Amiri"/>
                <w:b w:val="0"/>
                <w:i w:val="0"/>
                <w:sz w:val="20"/>
                <w:szCs w:val="20"/>
              </w:rPr>
              <w:t>{{ revision }}  —  {{ reporting_date }}</w:t>
            </w:r>
          </w:p>
        </w:tc>
      </w:tr>
    </w:tbl>
    <w:p>
      <w:pPr>
        <w:bidi/>
        <w:spacing w:after="360"/>
        <w:jc w:val="right"/>
      </w:pPr>
    </w:p>
    <w:p>
      <w:pPr>
        <w:bidi/>
        <w:spacing w:after="20"/>
        <w:jc w:val="center"/>
      </w:pPr>
      <w:r>
        <w:rPr>
          <w:rFonts w:cs="Amiri"/>
          <w:b w:val="0"/>
          <w:i w:val="0"/>
          <w:color w:val="6B6B6B"/>
          <w:sz w:val="22"/>
          <w:szCs w:val="22"/>
          <w:rtl/>
        </w:rPr>
        <w:t>إعداد</w:t>
      </w:r>
    </w:p>
    <w:p>
      <w:pPr>
        <w:bidi/>
        <w:spacing w:after="280"/>
        <w:jc w:val="center"/>
      </w:pPr>
      <w:r>
        <w:rPr>
          <w:rFonts w:cs="Amiri"/>
          <w:b/>
          <w:i w:val="0"/>
          <w:color w:val="0F3D6E"/>
          <w:sz w:val="26"/>
          <w:szCs w:val="26"/>
        </w:rPr>
        <w:t>{{ provider }}</w:t>
      </w:r>
    </w:p>
    <w:tbl>
      <w:tblPr>
        <w:bidiVisual/>
        <w:tblW w:type="auto" w:w="0"/>
        <w:jc w:val="center"/>
        <w:tblLayout w:type="fixed"/>
        <w:tblLook w:firstColumn="1" w:firstRow="1" w:lastColumn="0" w:lastRow="0" w:noHBand="0" w:noVBand="1" w:val="04A0"/>
      </w:tblPr>
      <w:tblGrid>
        <w:gridCol w:w="9412"/>
      </w:tblGrid>
      <w:tr>
        <w:tc>
          <w:tcPr>
            <w:tcW w:type="dxa" w:w="9411"/>
            <w:shd w:val="clear" w:fill="0F3D6E"/>
          </w:tcPr>
          <w:p>
            <w:pPr>
              <w:bidi/>
              <w:spacing w:before="160" w:after="0"/>
              <w:jc w:val="center"/>
            </w:pPr>
            <w:r>
              <w:rPr>
                <w:rFonts w:cs="Amiri"/>
                <w:b/>
                <w:color w:val="FFFFFF"/>
                <w:sz w:val="20"/>
                <w:szCs w:val="20"/>
              </w:rPr>
              <w:t>{{ provider_legal_name }}</w:t>
            </w:r>
          </w:p>
          <w:p>
            <w:pPr>
              <w:bidi/>
              <w:spacing w:before="0" w:after="0"/>
              <w:jc w:val="center"/>
            </w:pPr>
            <w:r>
              <w:rPr>
                <w:rFonts w:cs="Amiri"/>
                <w:b w:val="0"/>
                <w:color w:val="BFD9EF"/>
                <w:sz w:val="18"/>
                <w:szCs w:val="18"/>
              </w:rPr>
              <w:t>Tel.: {{ provider_tel }}    Fax: {{ provider_fax }}    E-mail: {{ provider_email }}</w:t>
            </w:r>
          </w:p>
          <w:p>
            <w:pPr>
              <w:bidi/>
              <w:spacing w:before="0" w:after="160"/>
              <w:jc w:val="center"/>
            </w:pPr>
            <w:r>
              <w:rPr>
                <w:rFonts w:cs="Amiri"/>
                <w:b w:val="0"/>
                <w:color w:val="BFD9EF"/>
                <w:sz w:val="18"/>
                <w:szCs w:val="18"/>
              </w:rPr>
              <w:t>{{ provider_address }}</w:t>
            </w:r>
          </w:p>
        </w:tc>
      </w:tr>
    </w:tbl>
    <w:p>
      <w:pPr>
        <w:bidi/>
        <w:sectPr>
          <w:headerReference w:type="default" r:id="rId13"/>
          <w:footerReference w:type="default" r:id="rId14"/>
          <w:headerReference w:type="first" r:id="rId15"/>
          <w:footerReference w:type="first" r:id="rId16"/>
          <w:pgSz w:w="11906" w:h="16838"/>
          <w:pgMar w:top="1247" w:right="1247" w:bottom="1247" w:left="1247"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img in calibration_images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857143"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857143" cy="576000"/>
                        </a:xfrm>
                        <a:prstGeom prst="rect"/>
                      </pic:spPr>
                    </pic:pic>
                  </a:graphicData>
                </a:graphic>
              </wp:inline>
            </w:drawing>
          </w:r>
        </w:p>
      </w:tc>
      <w:tc>
        <w:tcPr>
          <w:tcW w:type="dxa" w:w="3213"/>
        </w:tcPr>
        <w:p>
          <w:pPr>
            <w:bidi/>
            <w:jc w:val="center"/>
          </w:pPr>
          <w:r>
            <w:rPr>
              <w:rFonts w:cs="Amiri"/>
              <w:b/>
              <w:i/>
              <w:color w:val="0F3D6E"/>
              <w:sz w:val="20"/>
              <w:szCs w:val="20"/>
              <w:rtl/>
            </w:rPr>
            <w:t>تقرير رصد جودة الهواء المحيط لمشروع</w:t>
          </w:r>
        </w:p>
        <w:p>
          <w:pPr>
            <w:bidi/>
            <w:jc w:val="center"/>
          </w:pPr>
          <w:r>
            <w:rPr>
              <w:rFonts w:cs="Amiri"/>
              <w:b/>
              <w:i/>
              <w:color w:val="1F6FB2"/>
              <w:sz w:val="20"/>
              <w:szCs w:val="20"/>
            </w:rPr>
            <w:t>{{ project_name }}</w:t>
          </w:r>
        </w:p>
      </w:tc>
      <w:tc>
        <w:tcPr>
          <w:tcW w:type="dxa" w:w="3213"/>
        </w:tcPr>
        <w:p>
          <w:pPr>
            <w:bidi/>
            <w:jc w:val="right"/>
          </w:pPr>
          <w:r>
            <w:rPr>
              <w:rFonts w:cs="Amiri"/>
            </w:rPr>
            <w:drawing>
              <wp:inline xmlns:a="http://schemas.openxmlformats.org/drawingml/2006/main" xmlns:pic="http://schemas.openxmlformats.org/drawingml/2006/picture">
                <wp:extent cx="822857"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822857"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