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32B" w:rsidRDefault="00EC332B" w:rsidP="00EC332B">
      <w:pPr>
        <w:autoSpaceDE w:val="0"/>
        <w:autoSpaceDN w:val="0"/>
        <w:adjustRightInd w:val="0"/>
        <w:spacing w:after="0" w:line="240" w:lineRule="auto"/>
        <w:rPr>
          <w:rFonts w:ascii="TTE1D143F8t00" w:hAnsi="TTE1D143F8t00" w:cs="TTE1D143F8t00"/>
          <w:color w:val="800000"/>
          <w:sz w:val="28"/>
          <w:szCs w:val="28"/>
        </w:rPr>
      </w:pPr>
      <w:r>
        <w:rPr>
          <w:rFonts w:ascii="TTE1D143F8t00" w:hAnsi="TTE1D143F8t00" w:cs="TTE1D143F8t00"/>
          <w:color w:val="800000"/>
          <w:sz w:val="28"/>
          <w:szCs w:val="28"/>
        </w:rPr>
        <w:t>Question 3: (bonus point 02)</w:t>
      </w:r>
    </w:p>
    <w:p w:rsidR="00EC332B" w:rsidRDefault="00EC332B" w:rsidP="00EC332B">
      <w:pPr>
        <w:autoSpaceDE w:val="0"/>
        <w:autoSpaceDN w:val="0"/>
        <w:adjustRightInd w:val="0"/>
        <w:spacing w:after="0" w:line="240" w:lineRule="auto"/>
        <w:rPr>
          <w:rFonts w:ascii="TTE1D143F8t00" w:hAnsi="TTE1D143F8t00" w:cs="TTE1D143F8t00"/>
          <w:color w:val="000000"/>
          <w:sz w:val="20"/>
          <w:szCs w:val="20"/>
        </w:rPr>
      </w:pPr>
      <w:r>
        <w:rPr>
          <w:rFonts w:ascii="TTE1D143F8t00" w:hAnsi="TTE1D143F8t00" w:cs="TTE1D143F8t00"/>
          <w:color w:val="000000"/>
          <w:sz w:val="20"/>
          <w:szCs w:val="20"/>
        </w:rPr>
        <w:t>FIPA describes reference model for an agent platform in form of key roles necessary for</w:t>
      </w:r>
      <w:r>
        <w:rPr>
          <w:rFonts w:ascii="TTE1D143F8t00" w:hAnsi="TTE1D143F8t00" w:cs="TTE1D143F8t00" w:hint="eastAsia"/>
          <w:color w:val="000000"/>
          <w:sz w:val="20"/>
          <w:szCs w:val="20"/>
        </w:rPr>
        <w:t xml:space="preserve"> </w:t>
      </w:r>
      <w:r>
        <w:rPr>
          <w:rFonts w:ascii="TTE1D143F8t00" w:hAnsi="TTE1D143F8t00" w:cs="TTE1D143F8t00"/>
          <w:color w:val="000000"/>
          <w:sz w:val="20"/>
          <w:szCs w:val="20"/>
        </w:rPr>
        <w:t>managing the agent platform, these are</w:t>
      </w:r>
    </w:p>
    <w:p w:rsidR="00EC332B" w:rsidRDefault="00EC332B" w:rsidP="00EC332B">
      <w:pPr>
        <w:autoSpaceDE w:val="0"/>
        <w:autoSpaceDN w:val="0"/>
        <w:adjustRightInd w:val="0"/>
        <w:spacing w:after="0" w:line="240" w:lineRule="auto"/>
        <w:rPr>
          <w:rFonts w:ascii="TTE1D143F8t00" w:hAnsi="TTE1D143F8t00" w:cs="TTE1D143F8t00"/>
          <w:color w:val="000000"/>
          <w:sz w:val="20"/>
          <w:szCs w:val="20"/>
        </w:rPr>
      </w:pPr>
      <w:proofErr w:type="spellStart"/>
      <w:r>
        <w:rPr>
          <w:rFonts w:ascii="TTE1D143F8t00" w:hAnsi="TTE1D143F8t00" w:cs="TTE1D143F8t00"/>
          <w:color w:val="000000"/>
          <w:sz w:val="20"/>
          <w:szCs w:val="20"/>
        </w:rPr>
        <w:t>i</w:t>
      </w:r>
      <w:proofErr w:type="spellEnd"/>
      <w:r>
        <w:rPr>
          <w:rFonts w:ascii="TTE1D143F8t00" w:hAnsi="TTE1D143F8t00" w:cs="TTE1D143F8t00"/>
          <w:color w:val="000000"/>
          <w:sz w:val="20"/>
          <w:szCs w:val="20"/>
        </w:rPr>
        <w:t>). Agent Management System (AMS),</w:t>
      </w:r>
    </w:p>
    <w:p w:rsidR="00EC332B" w:rsidRDefault="00EC332B" w:rsidP="00EC332B">
      <w:pPr>
        <w:autoSpaceDE w:val="0"/>
        <w:autoSpaceDN w:val="0"/>
        <w:adjustRightInd w:val="0"/>
        <w:spacing w:after="0" w:line="240" w:lineRule="auto"/>
        <w:rPr>
          <w:rFonts w:ascii="TTE1D143F8t00" w:hAnsi="TTE1D143F8t00" w:cs="TTE1D143F8t00"/>
          <w:color w:val="000000"/>
          <w:sz w:val="20"/>
          <w:szCs w:val="20"/>
        </w:rPr>
      </w:pPr>
      <w:r>
        <w:rPr>
          <w:rFonts w:ascii="TTE1D143F8t00" w:hAnsi="TTE1D143F8t00" w:cs="TTE1D143F8t00"/>
          <w:color w:val="000000"/>
          <w:sz w:val="20"/>
          <w:szCs w:val="20"/>
        </w:rPr>
        <w:t>ii). Agent Communication Channel (ACC) and</w:t>
      </w:r>
    </w:p>
    <w:p w:rsidR="00EC332B" w:rsidRDefault="00EC332B" w:rsidP="00EC332B">
      <w:pPr>
        <w:autoSpaceDE w:val="0"/>
        <w:autoSpaceDN w:val="0"/>
        <w:adjustRightInd w:val="0"/>
        <w:spacing w:after="0" w:line="240" w:lineRule="auto"/>
        <w:rPr>
          <w:rFonts w:ascii="TTE1D143F8t00" w:hAnsi="TTE1D143F8t00" w:cs="TTE1D143F8t00"/>
          <w:color w:val="000000"/>
          <w:sz w:val="20"/>
          <w:szCs w:val="20"/>
        </w:rPr>
      </w:pPr>
      <w:r>
        <w:rPr>
          <w:rFonts w:ascii="TTE1D143F8t00" w:hAnsi="TTE1D143F8t00" w:cs="TTE1D143F8t00"/>
          <w:color w:val="000000"/>
          <w:sz w:val="20"/>
          <w:szCs w:val="20"/>
        </w:rPr>
        <w:t>iii). Directory Facilitator (DF).</w:t>
      </w:r>
    </w:p>
    <w:p w:rsidR="00EC332B" w:rsidRDefault="00EC332B" w:rsidP="00EC332B">
      <w:pPr>
        <w:autoSpaceDE w:val="0"/>
        <w:autoSpaceDN w:val="0"/>
        <w:adjustRightInd w:val="0"/>
        <w:spacing w:after="0" w:line="240" w:lineRule="auto"/>
        <w:rPr>
          <w:rFonts w:ascii="TTE1D143F8t00" w:hAnsi="TTE1D143F8t00" w:cs="TTE1D143F8t00"/>
          <w:color w:val="000000"/>
          <w:sz w:val="20"/>
          <w:szCs w:val="20"/>
        </w:rPr>
      </w:pPr>
      <w:r>
        <w:rPr>
          <w:rFonts w:ascii="TTE1D143F8t00" w:hAnsi="TTE1D143F8t00" w:cs="TTE1D143F8t00"/>
          <w:color w:val="000000"/>
          <w:sz w:val="20"/>
          <w:szCs w:val="20"/>
        </w:rPr>
        <w:t>Describe all these roles in the context of JADE Agent Platform, services provided by</w:t>
      </w:r>
      <w:r>
        <w:rPr>
          <w:rFonts w:ascii="TTE1D143F8t00" w:hAnsi="TTE1D143F8t00" w:cs="TTE1D143F8t00" w:hint="eastAsia"/>
          <w:color w:val="000000"/>
          <w:sz w:val="20"/>
          <w:szCs w:val="20"/>
        </w:rPr>
        <w:t xml:space="preserve"> </w:t>
      </w:r>
      <w:r>
        <w:rPr>
          <w:rFonts w:ascii="TTE1D143F8t00" w:hAnsi="TTE1D143F8t00" w:cs="TTE1D143F8t00"/>
          <w:color w:val="000000"/>
          <w:sz w:val="20"/>
          <w:szCs w:val="20"/>
        </w:rPr>
        <w:t>representative agents for these roles, their interaction among each other. (</w:t>
      </w:r>
      <w:proofErr w:type="gramStart"/>
      <w:r>
        <w:rPr>
          <w:rFonts w:ascii="TTE1D143F8t00" w:hAnsi="TTE1D143F8t00" w:cs="TTE1D143F8t00"/>
          <w:color w:val="000000"/>
          <w:sz w:val="20"/>
          <w:szCs w:val="20"/>
        </w:rPr>
        <w:t>max</w:t>
      </w:r>
      <w:proofErr w:type="gramEnd"/>
      <w:r>
        <w:rPr>
          <w:rFonts w:ascii="TTE1D143F8t00" w:hAnsi="TTE1D143F8t00" w:cs="TTE1D143F8t00"/>
          <w:color w:val="000000"/>
          <w:sz w:val="20"/>
          <w:szCs w:val="20"/>
        </w:rPr>
        <w:t xml:space="preserve"> 1-2</w:t>
      </w:r>
      <w:r>
        <w:rPr>
          <w:rFonts w:ascii="TTE1D143F8t00" w:hAnsi="TTE1D143F8t00" w:cs="TTE1D143F8t00" w:hint="eastAsia"/>
          <w:color w:val="000000"/>
          <w:sz w:val="20"/>
          <w:szCs w:val="20"/>
        </w:rPr>
        <w:t xml:space="preserve"> </w:t>
      </w:r>
      <w:r>
        <w:rPr>
          <w:rFonts w:ascii="TTE1D143F8t00" w:hAnsi="TTE1D143F8t00" w:cs="TTE1D143F8t00"/>
          <w:color w:val="000000"/>
          <w:sz w:val="20"/>
          <w:szCs w:val="20"/>
        </w:rPr>
        <w:t>pages). Use bullets and precise points.</w:t>
      </w:r>
    </w:p>
    <w:p w:rsidR="00BB45CB" w:rsidRDefault="00BB45CB"/>
    <w:p w:rsidR="003D6157" w:rsidRDefault="003D6157" w:rsidP="003D6157">
      <w:pPr>
        <w:keepNext/>
      </w:pPr>
      <w:r>
        <w:rPr>
          <w:rFonts w:hint="eastAsia"/>
        </w:rPr>
        <w:t>Recall in Jade platform, as in Figure 1, there is a special container, called the main container, which represents the bootstrap point of a platform</w:t>
      </w:r>
      <w:r w:rsidR="00470FA6">
        <w:rPr>
          <w:rFonts w:hint="eastAsia"/>
        </w:rPr>
        <w:t>.</w:t>
      </w:r>
      <w:r w:rsidR="00093C71">
        <w:rPr>
          <w:rFonts w:hint="eastAsia"/>
        </w:rPr>
        <w:t xml:space="preserve"> </w:t>
      </w:r>
      <w:r w:rsidR="00DC2E89">
        <w:rPr>
          <w:rFonts w:hint="eastAsia"/>
        </w:rPr>
        <w:t>When the main container is launched, two special agents are automatically instantiated and started by Jade.</w:t>
      </w:r>
    </w:p>
    <w:p w:rsidR="003D6157" w:rsidRDefault="00BB45CB" w:rsidP="003D6157">
      <w:pPr>
        <w:keepNext/>
        <w:jc w:val="center"/>
      </w:pPr>
      <w:r>
        <w:rPr>
          <w:noProof/>
        </w:rPr>
        <w:drawing>
          <wp:inline distT="0" distB="0" distL="0" distR="0">
            <wp:extent cx="4210050" cy="1946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214598" cy="1948428"/>
                    </a:xfrm>
                    <a:prstGeom prst="rect">
                      <a:avLst/>
                    </a:prstGeom>
                    <a:noFill/>
                    <a:ln w="9525">
                      <a:noFill/>
                      <a:miter lim="800000"/>
                      <a:headEnd/>
                      <a:tailEnd/>
                    </a:ln>
                  </pic:spPr>
                </pic:pic>
              </a:graphicData>
            </a:graphic>
          </wp:inline>
        </w:drawing>
      </w:r>
    </w:p>
    <w:p w:rsidR="00EC332B" w:rsidRDefault="003D6157" w:rsidP="003D6157">
      <w:pPr>
        <w:pStyle w:val="Caption"/>
        <w:jc w:val="center"/>
      </w:pPr>
      <w:r>
        <w:t xml:space="preserve">Figure </w:t>
      </w:r>
      <w:fldSimple w:instr=" SEQ Figure \* ARABIC ">
        <w:r>
          <w:rPr>
            <w:noProof/>
          </w:rPr>
          <w:t>1</w:t>
        </w:r>
      </w:fldSimple>
    </w:p>
    <w:p w:rsidR="003D6157" w:rsidRDefault="00191648" w:rsidP="00470FA6">
      <w:pPr>
        <w:keepNext/>
        <w:rPr>
          <w:rFonts w:hint="eastAsia"/>
        </w:rPr>
      </w:pPr>
      <w:r>
        <w:rPr>
          <w:rFonts w:hint="eastAsia"/>
        </w:rPr>
        <w:t>One is the Agent Management System</w:t>
      </w:r>
      <w:r w:rsidR="00362A32">
        <w:rPr>
          <w:rFonts w:hint="eastAsia"/>
        </w:rPr>
        <w:t xml:space="preserve"> (AMS), which </w:t>
      </w:r>
      <w:r>
        <w:rPr>
          <w:rFonts w:hint="eastAsia"/>
        </w:rPr>
        <w:t xml:space="preserve">is the agent that supervises the entire platform. It is the contact point for all agents that need to interact in order to access the white pages of the </w:t>
      </w:r>
      <w:r w:rsidR="00026BF3">
        <w:rPr>
          <w:rFonts w:hint="eastAsia"/>
        </w:rPr>
        <w:t xml:space="preserve">platform as well as to manage their lifecycle. </w:t>
      </w:r>
      <w:r w:rsidR="00851F42">
        <w:rPr>
          <w:rFonts w:hint="eastAsia"/>
        </w:rPr>
        <w:t xml:space="preserve">Every agent is </w:t>
      </w:r>
      <w:r w:rsidR="00851F42">
        <w:t>required</w:t>
      </w:r>
      <w:r w:rsidR="00851F42">
        <w:rPr>
          <w:rFonts w:hint="eastAsia"/>
        </w:rPr>
        <w:t xml:space="preserve"> to register with the AMS in order to obtain a valid AID, </w:t>
      </w:r>
      <w:r w:rsidR="003E3BF4">
        <w:rPr>
          <w:rFonts w:hint="eastAsia"/>
        </w:rPr>
        <w:t>and this</w:t>
      </w:r>
      <w:r w:rsidR="00851F42">
        <w:rPr>
          <w:rFonts w:hint="eastAsia"/>
        </w:rPr>
        <w:t xml:space="preserve"> procedure is automatically carried out by Jade at agent start-up.</w:t>
      </w:r>
    </w:p>
    <w:p w:rsidR="00851F42" w:rsidRDefault="00362A32" w:rsidP="00470FA6">
      <w:pPr>
        <w:keepNext/>
      </w:pPr>
      <w:r>
        <w:rPr>
          <w:rFonts w:hint="eastAsia"/>
        </w:rPr>
        <w:t xml:space="preserve">The other one is the Directory Facilitator (DF), which is the agent that implements the yellow pages services, used by any agent wishing to register its services or search for other available services. The Jade DF also accepts subscriptions from agents that wish to be notified whenever a service registration or modification is made that </w:t>
      </w:r>
      <w:proofErr w:type="gramStart"/>
      <w:r w:rsidR="003945A8">
        <w:t>match</w:t>
      </w:r>
      <w:r w:rsidR="002D7B04">
        <w:rPr>
          <w:rFonts w:hint="eastAsia"/>
        </w:rPr>
        <w:t>es</w:t>
      </w:r>
      <w:proofErr w:type="gramEnd"/>
      <w:r>
        <w:rPr>
          <w:rFonts w:hint="eastAsia"/>
        </w:rPr>
        <w:t xml:space="preserve"> some specified criteria.</w:t>
      </w:r>
    </w:p>
    <w:sectPr w:rsidR="00851F42" w:rsidSect="00BB45CB">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TE1D143F8t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332B"/>
    <w:rsid w:val="00026BF3"/>
    <w:rsid w:val="00093C71"/>
    <w:rsid w:val="00191648"/>
    <w:rsid w:val="002D7B04"/>
    <w:rsid w:val="00362A32"/>
    <w:rsid w:val="003945A8"/>
    <w:rsid w:val="003D6157"/>
    <w:rsid w:val="003E3BF4"/>
    <w:rsid w:val="00470FA6"/>
    <w:rsid w:val="005A7578"/>
    <w:rsid w:val="007E08D7"/>
    <w:rsid w:val="00851F42"/>
    <w:rsid w:val="00BB45CB"/>
    <w:rsid w:val="00DC2E89"/>
    <w:rsid w:val="00EC33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CB"/>
    <w:rPr>
      <w:rFonts w:ascii="Tahoma" w:hAnsi="Tahoma" w:cs="Tahoma"/>
      <w:sz w:val="16"/>
      <w:szCs w:val="16"/>
    </w:rPr>
  </w:style>
  <w:style w:type="paragraph" w:styleId="Caption">
    <w:name w:val="caption"/>
    <w:basedOn w:val="Normal"/>
    <w:next w:val="Normal"/>
    <w:uiPriority w:val="35"/>
    <w:unhideWhenUsed/>
    <w:qFormat/>
    <w:rsid w:val="003D61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 Huang</dc:creator>
  <cp:keywords/>
  <dc:description/>
  <cp:lastModifiedBy>Sike Huang</cp:lastModifiedBy>
  <cp:revision>12</cp:revision>
  <dcterms:created xsi:type="dcterms:W3CDTF">2007-11-17T13:51:00Z</dcterms:created>
  <dcterms:modified xsi:type="dcterms:W3CDTF">2007-11-17T16:03:00Z</dcterms:modified>
</cp:coreProperties>
</file>