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800000"/>
          <w:sz w:val="28"/>
          <w:szCs w:val="28"/>
        </w:rPr>
      </w:pPr>
      <w:r>
        <w:rPr>
          <w:rFonts w:ascii="TTE1D143F8t00" w:hAnsi="TTE1D143F8t00" w:cs="TTE1D143F8t00"/>
          <w:color w:val="800000"/>
          <w:sz w:val="28"/>
          <w:szCs w:val="28"/>
        </w:rPr>
        <w:t>Question 3: (bonus point 02)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FIPA describes reference model for an agent platform in form of key roles necessary for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managing the agent platform, these are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proofErr w:type="spellStart"/>
      <w:r>
        <w:rPr>
          <w:rFonts w:ascii="TTE1D143F8t00" w:hAnsi="TTE1D143F8t00" w:cs="TTE1D143F8t00"/>
          <w:color w:val="000000"/>
          <w:sz w:val="20"/>
          <w:szCs w:val="20"/>
        </w:rPr>
        <w:t>i</w:t>
      </w:r>
      <w:proofErr w:type="spellEnd"/>
      <w:r>
        <w:rPr>
          <w:rFonts w:ascii="TTE1D143F8t00" w:hAnsi="TTE1D143F8t00" w:cs="TTE1D143F8t00"/>
          <w:color w:val="000000"/>
          <w:sz w:val="20"/>
          <w:szCs w:val="20"/>
        </w:rPr>
        <w:t>). Agent Management System (AMS),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ii). Agent Communication Channel (ACC) and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iii). Directory Facilitator (DF).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Describe all these roles in the context of JADE Agent Platform, services provided by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representative agents for these roles, their interaction among each other. (</w:t>
      </w:r>
      <w:proofErr w:type="gramStart"/>
      <w:r>
        <w:rPr>
          <w:rFonts w:ascii="TTE1D143F8t00" w:hAnsi="TTE1D143F8t00" w:cs="TTE1D143F8t00"/>
          <w:color w:val="000000"/>
          <w:sz w:val="20"/>
          <w:szCs w:val="20"/>
        </w:rPr>
        <w:t>max</w:t>
      </w:r>
      <w:proofErr w:type="gramEnd"/>
      <w:r>
        <w:rPr>
          <w:rFonts w:ascii="TTE1D143F8t00" w:hAnsi="TTE1D143F8t00" w:cs="TTE1D143F8t00"/>
          <w:color w:val="000000"/>
          <w:sz w:val="20"/>
          <w:szCs w:val="20"/>
        </w:rPr>
        <w:t xml:space="preserve"> 1-2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pages). Use bullets and precise points.</w:t>
      </w:r>
    </w:p>
    <w:p w:rsidR="00BB45CB" w:rsidRDefault="00BB45CB">
      <w:pPr>
        <w:rPr>
          <w:rFonts w:hint="eastAsia"/>
        </w:rPr>
      </w:pPr>
    </w:p>
    <w:p w:rsidR="003D6157" w:rsidRDefault="003D6157" w:rsidP="003D6157">
      <w:pPr>
        <w:keepNext/>
        <w:rPr>
          <w:rFonts w:hint="eastAsia"/>
        </w:rPr>
      </w:pPr>
      <w:r>
        <w:rPr>
          <w:rFonts w:hint="eastAsia"/>
        </w:rPr>
        <w:t>Recall in Jade platform, as in Figure 1, there is a special container, called the main container, which represents the bootstrap point of a platform</w:t>
      </w:r>
      <w:r w:rsidR="00093C71">
        <w:rPr>
          <w:rFonts w:hint="eastAsia"/>
        </w:rPr>
        <w:t xml:space="preserve">.  When the main container is launched, two </w:t>
      </w:r>
    </w:p>
    <w:p w:rsidR="003D6157" w:rsidRDefault="00BB45CB" w:rsidP="003D6157">
      <w:pPr>
        <w:keepNext/>
        <w:jc w:val="center"/>
      </w:pPr>
      <w:r>
        <w:rPr>
          <w:noProof/>
        </w:rPr>
        <w:drawing>
          <wp:inline distT="0" distB="0" distL="0" distR="0">
            <wp:extent cx="4210050" cy="1946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98" cy="194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2B" w:rsidRDefault="003D6157" w:rsidP="003D6157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3D6157" w:rsidRDefault="003D6157"/>
    <w:sectPr w:rsidR="003D6157" w:rsidSect="00BB45C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D143F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32B"/>
    <w:rsid w:val="00093C71"/>
    <w:rsid w:val="003D6157"/>
    <w:rsid w:val="007E08D7"/>
    <w:rsid w:val="00BB45CB"/>
    <w:rsid w:val="00EC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61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4</cp:revision>
  <dcterms:created xsi:type="dcterms:W3CDTF">2007-11-17T13:51:00Z</dcterms:created>
  <dcterms:modified xsi:type="dcterms:W3CDTF">2007-11-17T15:26:00Z</dcterms:modified>
</cp:coreProperties>
</file>