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智慧城市综合管理平台项目招标文件</w:t>
      </w:r>
    </w:p>
    <w:p>
      <w:pPr>
        <w:pStyle w:val="Normal"/>
      </w:pPr>
      <w:r>
        <w:t>招标编号：ZBCG-2024-0892</w:t>
      </w:r>
    </w:p>
    <w:p>
      <w:pPr>
        <w:pStyle w:val="Normal"/>
      </w:pPr>
      <w:r>
        <w:t>招标人：市政务服务数据管理局</w:t>
      </w:r>
    </w:p>
    <w:p>
      <w:pPr>
        <w:pStyle w:val="Normal"/>
      </w:pPr>
      <w:r>
        <w:t>投标截止时间：2024年12月20日 14:00</w:t>
      </w:r>
    </w:p>
    <w:p>
      <w:pPr>
        <w:pStyle w:val="Normal"/>
      </w:pPr>
      <w:r>
        <w:t>本项目要求投标人具备电子与智能化工程专业承包二级及以上资质。</w:t>
      </w:r>
    </w:p>
    <w:p>
      <w:pPr>
        <w:pStyle w:val="Normal"/>
      </w:pPr>
      <w:r>
        <w:t>★投标报价不得高于预算金额，否则作废标处理。</w:t>
      </w:r>
    </w:p>
    <w:p>
      <w:pPr>
        <w:pStyle w:val="Heading1"/>
      </w:pPr>
      <w:r>
        <w:t>第一章 投标函</w:t>
      </w:r>
    </w:p>
    <w:p>
      <w:pPr>
        <w:pStyle w:val="Heading2"/>
      </w:pPr>
      <w:r>
        <w:t>1.1 投标承诺</w:t>
      </w:r>
    </w:p>
    <w:p>
      <w:pPr>
        <w:pStyle w:val="Normal"/>
      </w:pPr>
      <w:r>
        <w:t>我方完全接受招标文件的全部条款和条件。</w:t>
      </w:r>
    </w:p>
    <w:p>
      <w:pPr>
        <w:pStyle w:val="Heading1"/>
      </w:pPr>
      <w:r>
        <w:t>第二章 法定代表人身份证明</w:t>
      </w:r>
    </w:p>
    <w:p>
      <w:pPr>
        <w:pStyle w:val="Heading1"/>
      </w:pPr>
      <w:r>
        <w:t>第三章 授权委托书</w:t>
      </w:r>
    </w:p>
    <w:p>
      <w:pPr>
        <w:pStyle w:val="Heading1"/>
      </w:pPr>
      <w:r>
        <w:t>第四章 投标保证金</w:t>
      </w:r>
    </w:p>
    <w:p>
      <w:pPr>
        <w:pStyle w:val="Heading1"/>
      </w:pPr>
      <w:r>
        <w:t>第五章 商务标</w:t>
      </w:r>
    </w:p>
    <w:p>
      <w:pPr>
        <w:pStyle w:val="Heading2"/>
      </w:pPr>
      <w:r>
        <w:t>5.1 投标报价表</w:t>
      </w:r>
    </w:p>
    <w:p>
      <w:pPr>
        <w:pStyle w:val="Normal"/>
      </w:pPr>
      <w:r>
        <w:t>本项目总报价不低于人民币500万元，单项设备报价须逐项列出。</w:t>
      </w:r>
    </w:p>
    <w:p>
      <w:pPr>
        <w:pStyle w:val="Heading2"/>
      </w:pPr>
      <w:r>
        <w:t>5.2 企业资质证书</w:t>
      </w:r>
    </w:p>
    <w:p>
      <w:pPr>
        <w:pStyle w:val="Heading2"/>
      </w:pPr>
      <w:r>
        <w:t>5.3 业绩清单</w:t>
      </w:r>
    </w:p>
    <w:p>
      <w:pPr>
        <w:pStyle w:val="Heading1"/>
      </w:pPr>
      <w:r>
        <w:t>第六章 技术标</w:t>
      </w:r>
    </w:p>
    <w:p>
      <w:pPr>
        <w:pStyle w:val="Heading2"/>
      </w:pPr>
      <w:r>
        <w:t>6.1 技术方案</w:t>
      </w:r>
    </w:p>
    <w:p>
      <w:pPr>
        <w:pStyle w:val="Normal"/>
      </w:pPr>
      <w:r>
        <w:t>技术方案应包含系统架构设计、关键技术选型、数据接口规范。</w:t>
      </w:r>
    </w:p>
    <w:p>
      <w:pPr>
        <w:pStyle w:val="Normal"/>
      </w:pPr>
      <w:r>
        <w:t>▲系统响应时间不得大于2秒，并发用户数不低于1000人。</w:t>
      </w:r>
    </w:p>
    <w:p>
      <w:pPr>
        <w:pStyle w:val="Heading2"/>
      </w:pPr>
      <w:r>
        <w:t>6.2 质量保障措施</w:t>
      </w:r>
    </w:p>
    <w:p>
      <w:pPr>
        <w:pStyle w:val="Heading2"/>
      </w:pPr>
      <w:r>
        <w:t>6.3 售后服务方案</w:t>
      </w:r>
    </w:p>
    <w:p>
      <w:pPr>
        <w:pStyle w:val="Normal"/>
      </w:pPr>
      <w:r>
        <w:t>提供7x24小时技术支持，保修期不少于3年。</w:t>
      </w:r>
    </w:p>
    <w:p>
      <w:pPr>
        <w:pStyle w:val="Heading1"/>
      </w:pPr>
      <w:r>
        <w:t>第七章 评分标准</w:t>
      </w:r>
    </w:p>
    <w:p>
      <w:pPr>
        <w:pStyle w:val="Normal"/>
      </w:pPr>
      <w:r>
        <w:t>技术方案：40分；商务报价：30分；企业资质：20分；售后服务：10分。</w:t>
      </w:r>
    </w:p>
    <w:p>
      <w:pPr>
        <w:pStyle w:val="Normal"/>
      </w:pPr>
      <w:r>
        <w:t>★未按实质性要求提供资质证明的，否决其投标。</w:t>
      </w:r>
    </w:p>
    <w:sectPr>
      <w:pgSz w:w="11900" w:h="168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