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i w:val="0"/>
          <w:color w:val="202060"/>
          <w:sz w:val="24"/>
        </w:rPr>
        <w:t>Карминдер Сингх | Концепции Сикхи | Часть 12 из 12 |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14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rminder_canvas_12b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i w:val="0"/>
          <w:color w:val="202060"/>
          <w:sz w:val="24"/>
        </w:rPr>
        <w:t>Карминдер Сингх | Концепции Сикхи | Часть 12 из 12 |</w:t>
      </w:r>
    </w:p>
    <w:p>
      <w:r>
        <w:rPr>
          <w:rFonts w:ascii="Arial" w:hAnsi="Arial"/>
          <w:b w:val="0"/>
          <w:i w:val="0"/>
          <w:color w:val="000000"/>
          <w:sz w:val="22"/>
        </w:rPr>
        <w:t>Гурбани ясно и однозначно использует все существовавшие до 1469 года концепции в двух контекстах.</w:t>
      </w:r>
    </w:p>
    <w:p>
      <w:r>
        <w:rPr>
          <w:rFonts w:ascii="Arial" w:hAnsi="Arial"/>
          <w:b w:val="0"/>
          <w:i w:val="0"/>
          <w:color w:val="000000"/>
          <w:sz w:val="22"/>
        </w:rPr>
        <w:t>Первый — когда концепция упоминается как Исходная Концепция до 1469 года. Например, мы рассмотрели смерть как она описана в учениях до 1469 года: физическую смерть тела.</w:t>
      </w:r>
    </w:p>
    <w:p>
      <w:r>
        <w:rPr>
          <w:rFonts w:ascii="Arial" w:hAnsi="Arial"/>
          <w:b w:val="0"/>
          <w:i w:val="0"/>
          <w:color w:val="000000"/>
          <w:sz w:val="22"/>
        </w:rPr>
        <w:t>Второй — когда ТА ЖЕ концепция упоминается как ПЕРЕОПРЕДЕЛЁННАЯ Концепция Гурбани. Переопределённое понятие смерти — это Духовная Смерть: смерть при жизни.</w:t>
      </w:r>
    </w:p>
    <w:p>
      <w:r>
        <w:rPr>
          <w:rFonts w:ascii="Arial" w:hAnsi="Arial"/>
          <w:b w:val="0"/>
          <w:i w:val="0"/>
          <w:color w:val="000000"/>
          <w:sz w:val="22"/>
        </w:rPr>
        <w:t>Язык и терминология те же — само слово не меняется. Но смысл, контекст и послание — совершенно разные.</w:t>
      </w:r>
    </w:p>
    <w:p>
      <w:r>
        <w:rPr>
          <w:rFonts w:ascii="Arial" w:hAnsi="Arial"/>
          <w:b w:val="0"/>
          <w:i w:val="0"/>
          <w:color w:val="000000"/>
          <w:sz w:val="22"/>
        </w:rPr>
        <w:t>Для простоты возьмём пример с понятием счастья. Я могу написать стихотворение, в котором критикую понятие счастья, принятое у людей вокруг меня. И могу написать другое стихотворение, в котором рассказываю о своём понимании счастья.</w:t>
      </w:r>
    </w:p>
    <w:p>
      <w:r>
        <w:rPr>
          <w:rFonts w:ascii="Arial" w:hAnsi="Arial"/>
          <w:b w:val="0"/>
          <w:i w:val="0"/>
          <w:color w:val="000000"/>
          <w:sz w:val="22"/>
        </w:rPr>
        <w:t>В обоих случаях концепция одна: Счастье. Язык и термин одни и те же. Но контекст, смысл и послание — разные.</w:t>
      </w:r>
    </w:p>
    <w:p>
      <w:r>
        <w:rPr>
          <w:rFonts w:ascii="Arial" w:hAnsi="Arial"/>
          <w:b w:val="0"/>
          <w:i w:val="0"/>
          <w:color w:val="000000"/>
          <w:sz w:val="22"/>
        </w:rPr>
        <w:t>Во втором случае я ПЕРЕОПРЕДЕЛЯЮ это понятие в соответствии со своим пониманием. Я говорю: вот что такое счастье с моей точки зрения.</w:t>
      </w:r>
    </w:p>
    <w:p>
      <w:r>
        <w:rPr>
          <w:rFonts w:ascii="Arial" w:hAnsi="Arial"/>
          <w:b w:val="0"/>
          <w:i w:val="0"/>
          <w:color w:val="000000"/>
          <w:sz w:val="22"/>
        </w:rPr>
        <w:t>Во втором случае я ПРОПАГАНДИРУЮ. Я говорю: вот такого счастья я хочу для вас.</w:t>
      </w:r>
    </w:p>
    <w:p>
      <w:r>
        <w:rPr>
          <w:rFonts w:ascii="Arial" w:hAnsi="Arial"/>
          <w:b w:val="0"/>
          <w:i w:val="0"/>
          <w:color w:val="000000"/>
          <w:sz w:val="22"/>
        </w:rPr>
        <w:t>Почему одна и та же терминология, одно и то же слово «счастье» используется в этих двух ПРОТИВОРЕЧИВЫХ контекстах?</w:t>
      </w:r>
    </w:p>
    <w:p>
      <w:r>
        <w:rPr>
          <w:rFonts w:ascii="Arial" w:hAnsi="Arial"/>
          <w:b w:val="0"/>
          <w:i w:val="0"/>
          <w:color w:val="000000"/>
          <w:sz w:val="22"/>
        </w:rPr>
        <w:t>Потому что люди в мире религии в 1469 году — в эпоху рождения Гуру Нанака — пользовались теми же словами для обозначения своих понятий.</w:t>
      </w:r>
    </w:p>
    <w:p>
      <w:r>
        <w:rPr>
          <w:rFonts w:ascii="Arial" w:hAnsi="Arial"/>
          <w:b w:val="0"/>
          <w:i w:val="0"/>
          <w:color w:val="000000"/>
          <w:sz w:val="22"/>
        </w:rPr>
        <w:t>Наши Гуру и Бхагаты говорят: существующее, или сложившееся до 1469 года, понимание смерти неверно.</w:t>
      </w:r>
    </w:p>
    <w:p>
      <w:r>
        <w:rPr>
          <w:rFonts w:ascii="Arial" w:hAnsi="Arial"/>
          <w:b w:val="0"/>
          <w:i w:val="0"/>
          <w:color w:val="000000"/>
          <w:sz w:val="22"/>
        </w:rPr>
        <w:t>Наши Гуру и Бхагаты говорят: это не та смерть, которая нас волнует. Такая смерть неизбежна — и бояться её бессмысленно.</w:t>
      </w:r>
    </w:p>
    <w:p>
      <w:r>
        <w:rPr>
          <w:rFonts w:ascii="Arial" w:hAnsi="Arial"/>
          <w:b w:val="0"/>
          <w:i w:val="0"/>
          <w:color w:val="000000"/>
          <w:sz w:val="22"/>
        </w:rPr>
        <w:t>Наши Гуру и Бхагаты говорят: та смерть, которая нас ДЕЙСТВИТЕЛЬНО волнует, которую мы стремимся предотвратить, — это Духовная Смерть.</w:t>
      </w:r>
    </w:p>
    <w:p>
      <w:r>
        <w:rPr>
          <w:rFonts w:ascii="Arial" w:hAnsi="Arial"/>
          <w:b w:val="0"/>
          <w:i w:val="0"/>
          <w:color w:val="000000"/>
          <w:sz w:val="22"/>
        </w:rPr>
        <w:t>Язык и терминология — те же. Слово по-прежнему СМЕРТЬ — или марн, маут и т.д. в Гурбани. Но контекст совершенно иной.</w:t>
      </w:r>
    </w:p>
    <w:p>
      <w:r>
        <w:rPr>
          <w:rFonts w:ascii="Arial" w:hAnsi="Arial"/>
          <w:b w:val="0"/>
          <w:i w:val="0"/>
          <w:color w:val="000000"/>
          <w:sz w:val="22"/>
        </w:rPr>
        <w:t>Вот что я имею в виду под ПЕРЕОПРЕДЕЛЕНИЕМ.</w:t>
      </w:r>
    </w:p>
    <w:p>
      <w:r>
        <w:rPr>
          <w:rFonts w:ascii="Arial" w:hAnsi="Arial"/>
          <w:b w:val="0"/>
          <w:i w:val="0"/>
          <w:color w:val="000000"/>
          <w:sz w:val="22"/>
        </w:rPr>
        <w:t>То же правило применяется к КАЖДОЙ другой существовавшей концепции и верованию. Терминология и язык — те же. Но контексты, смыслы и послания — разные.</w:t>
      </w:r>
    </w:p>
    <w:p>
      <w:r>
        <w:rPr>
          <w:rFonts w:ascii="Arial" w:hAnsi="Arial"/>
          <w:b w:val="0"/>
          <w:i w:val="0"/>
          <w:color w:val="000000"/>
          <w:sz w:val="22"/>
        </w:rPr>
        <w:t>Первый — когда Гуру и Бхагаты хотят критиковать сложившееся понимание. В этом случае концепция упоминается для её отрицания и отвержения.</w:t>
      </w:r>
    </w:p>
    <w:p>
      <w:r>
        <w:rPr>
          <w:rFonts w:ascii="Arial" w:hAnsi="Arial"/>
          <w:b w:val="0"/>
          <w:i w:val="0"/>
          <w:color w:val="000000"/>
          <w:sz w:val="22"/>
        </w:rPr>
        <w:t>Другой — когда составители Гурбани хотят представить ПЕРЕОПРЕДЕЛЁННЫЙ смысл и понимание этой концепции.</w:t>
      </w:r>
    </w:p>
    <w:p>
      <w:r>
        <w:rPr>
          <w:rFonts w:ascii="Arial" w:hAnsi="Arial"/>
          <w:b w:val="0"/>
          <w:i w:val="0"/>
          <w:color w:val="000000"/>
          <w:sz w:val="22"/>
        </w:rPr>
        <w:t>ИТАК, в одном контексте авторы Гурбани хотят ОТВЕРГНУТЬ концепцию четырёхтысячелетнего старого холста. В другом — они хотят ПЕРЕОПРЕДЕЛИТЬ её согласно духовности Сикхи.</w:t>
      </w:r>
    </w:p>
    <w:p>
      <w:r>
        <w:rPr>
          <w:rFonts w:ascii="Arial" w:hAnsi="Arial"/>
          <w:b w:val="0"/>
          <w:i w:val="0"/>
          <w:color w:val="000000"/>
          <w:sz w:val="22"/>
        </w:rPr>
        <w:t>Вопрос: КАК мы узнаем, в КАКОМ из двух контекстов она используется? Потому что терминология и язык одинаковы в обоих случаях.</w:t>
      </w:r>
    </w:p>
    <w:p>
      <w:r>
        <w:rPr>
          <w:rFonts w:ascii="Arial" w:hAnsi="Arial"/>
          <w:b w:val="0"/>
          <w:i w:val="0"/>
          <w:color w:val="000000"/>
          <w:sz w:val="22"/>
        </w:rPr>
        <w:t>Например, слово НАРАК СУАРГ — рай и ад. Как узнать, когда Нарак Суарг используется в контексте критики, а когда — переопределения?</w:t>
      </w:r>
    </w:p>
    <w:p>
      <w:r>
        <w:rPr>
          <w:rFonts w:ascii="Arial" w:hAnsi="Arial"/>
          <w:b w:val="0"/>
          <w:i w:val="0"/>
          <w:color w:val="000000"/>
          <w:sz w:val="22"/>
        </w:rPr>
        <w:t>Для этого нужно ПОНЯТЬ послание СТИХА, в котором оно употреблено.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849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rminder_Canvas_narak-surag_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84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 w:val="0"/>
          <w:i w:val="0"/>
          <w:color w:val="000000"/>
          <w:sz w:val="22"/>
        </w:rPr>
        <w:t>ЕСЛИ послание стиха — КРИТИКА, ОСУЖДЕНИЕ, ОТВЕРЖЕНИЕ Нарак Суарг — как в этих стихах:</w:t>
      </w:r>
    </w:p>
    <w:p>
      <w:r>
        <w:rPr>
          <w:rFonts w:ascii="Arial" w:hAnsi="Arial"/>
          <w:b/>
          <w:i w:val="0"/>
          <w:color w:val="550000"/>
          <w:sz w:val="26"/>
        </w:rPr>
        <w:t>ਕਬੀਰ ਸੁਰਗ ਨਰਕ ਤੇ ਮੈ ਰਹਿਓ ਸਤਿਗੁਰ ਕੇ ਪਰਸਾਦਿ ॥</w:t>
      </w:r>
    </w:p>
    <w:p>
      <w:pPr>
        <w:ind w:left="680"/>
      </w:pPr>
      <w:r>
        <w:rPr>
          <w:rFonts w:ascii="Arial" w:hAnsi="Arial"/>
          <w:b w:val="0"/>
          <w:i/>
          <w:color w:val="404040"/>
          <w:sz w:val="20"/>
        </w:rPr>
        <w:t>Naruk Surag Tay May Raheyo (SGGS, 1370)</w:t>
      </w:r>
    </w:p>
    <w:p>
      <w:r>
        <w:rPr>
          <w:rFonts w:ascii="Arial" w:hAnsi="Arial"/>
          <w:b/>
          <w:i w:val="0"/>
          <w:color w:val="550000"/>
          <w:sz w:val="26"/>
        </w:rPr>
        <w:t>ਕਵਨੁ ਨਰਕੁ ਕਿਆ ਸੁਰਗੁ ਬਿਚਾਰਾ ਸੰਤਨ ਦੋਊ ਰਾਦੇ ॥</w:t>
      </w:r>
    </w:p>
    <w:p>
      <w:pPr>
        <w:ind w:left="680"/>
      </w:pPr>
      <w:r>
        <w:rPr>
          <w:rFonts w:ascii="Arial" w:hAnsi="Arial"/>
          <w:b w:val="0"/>
          <w:i/>
          <w:color w:val="404040"/>
          <w:sz w:val="20"/>
        </w:rPr>
        <w:t>Kavan Naruk Kia Surag Bichara Santan Dou Raday (SGGS, 696)</w:t>
      </w:r>
    </w:p>
    <w:p>
      <w:r>
        <w:rPr>
          <w:rFonts w:ascii="Arial" w:hAnsi="Arial"/>
          <w:b w:val="0"/>
          <w:i w:val="0"/>
          <w:color w:val="000000"/>
          <w:sz w:val="22"/>
        </w:rPr>
        <w:t>Возьмём другой случай. ЯМА ДУТЫ — воины смерти. Когда Гуру Амардас говорит ਪੰਚ ਦੂਤ ਤੁਧੁ ਵਸਿ ਕੀਤੇ — пять Дут в твоей власти — что это означает?</w:t>
      </w:r>
    </w:p>
    <w:p>
      <w:r>
        <w:rPr>
          <w:rFonts w:ascii="Arial" w:hAnsi="Arial"/>
          <w:b w:val="0"/>
          <w:i w:val="0"/>
          <w:color w:val="000000"/>
          <w:sz w:val="22"/>
        </w:rPr>
        <w:t>Было бы верхом невежества утверждать, что Гуру Амардас говорит о ПЯТИ ЯМА ДУТАХ в загробной жизни. Этот стих НЕ ставит целью критиковать ЯМА ДУТОВ.</w:t>
      </w:r>
    </w:p>
    <w:p>
      <w:r>
        <w:rPr>
          <w:rFonts w:ascii="Arial" w:hAnsi="Arial"/>
          <w:b w:val="0"/>
          <w:i w:val="0"/>
          <w:color w:val="000000"/>
          <w:sz w:val="22"/>
        </w:rPr>
        <w:t>Значит ли это, что ЯМА ДУТЫ здесь используются в контексте до-1469-х значений — как солдаты смерти, которые физически существуют в загробной жизни?</w:t>
      </w:r>
    </w:p>
    <w:p>
      <w:r>
        <w:rPr>
          <w:rFonts w:ascii="Arial" w:hAnsi="Arial"/>
          <w:b w:val="0"/>
          <w:i w:val="0"/>
          <w:color w:val="000000"/>
          <w:sz w:val="22"/>
        </w:rPr>
        <w:t>Нет. В этом стихе Гуру Амардас НЕ критикует ДУТОВ — он ПРОПАГАНДИРУЕТ нечто иное. Слово ДУТ здесь — переопределённое: пять пороков как духовные воины смерти.</w:t>
      </w:r>
    </w:p>
    <w:p>
      <w:r>
        <w:rPr>
          <w:rFonts w:ascii="Arial" w:hAnsi="Arial"/>
          <w:b/>
          <w:i w:val="0"/>
          <w:color w:val="550000"/>
          <w:sz w:val="26"/>
        </w:rPr>
        <w:t>ਪੰਚ ਦੂਤ ਤੁਧੁ ਵਸਿ ਕੀਤੇ ਕਾਲੁ ਕੰਟਕੁ ਮਾਰਿਆ ॥</w:t>
      </w:r>
    </w:p>
    <w:p>
      <w:pPr>
        <w:ind w:left="680"/>
      </w:pPr>
      <w:r>
        <w:rPr>
          <w:rFonts w:ascii="Arial" w:hAnsi="Arial"/>
          <w:b w:val="0"/>
          <w:i/>
          <w:color w:val="404040"/>
          <w:sz w:val="20"/>
        </w:rPr>
        <w:t>Panch Doot Tudh Vas Keetay Kaal Kantuk Mariya. (SGGS, 917)</w:t>
      </w:r>
    </w:p>
    <w:p>
      <w:r>
        <w:rPr>
          <w:rFonts w:ascii="Arial" w:hAnsi="Arial"/>
          <w:b w:val="0"/>
          <w:i w:val="0"/>
          <w:color w:val="000000"/>
          <w:sz w:val="22"/>
        </w:rPr>
        <w:t>Смысл: о Ум, ОБУЗДАЙ, ВОЗЬМИ ПОД УЗДУ, ПОДЧИНИ воинов духовной смерти — пять пороков.</w:t>
      </w:r>
    </w:p>
    <w:p>
      <w:r>
        <w:rPr>
          <w:rFonts w:ascii="Arial" w:hAnsi="Arial"/>
          <w:b w:val="0"/>
          <w:i w:val="0"/>
          <w:color w:val="000000"/>
          <w:sz w:val="22"/>
        </w:rPr>
        <w:t>Аргумент о том, что Гурбани принимает любые и все концепции до 1469 года просто потому, что они упоминаются в ней, — ошибочен.</w:t>
      </w:r>
    </w:p>
    <w:p>
      <w:r>
        <w:rPr>
          <w:rFonts w:ascii="Arial" w:hAnsi="Arial"/>
          <w:b w:val="0"/>
          <w:i w:val="0"/>
          <w:color w:val="000000"/>
          <w:sz w:val="22"/>
        </w:rPr>
        <w:t>Нам всегда нужно выявлять контекст использования той или иной концепции. Это наша задача как Сикхов Гурбани.</w:t>
      </w:r>
    </w:p>
    <w:p>
      <w:r>
        <w:rPr>
          <w:rFonts w:ascii="Arial" w:hAnsi="Arial"/>
          <w:b w:val="0"/>
          <w:i w:val="0"/>
          <w:color w:val="000000"/>
          <w:sz w:val="22"/>
        </w:rPr>
        <w:t>Для примера рассмотрим концепцию ТИРТХА — места паломничества до 1469 года. Тиртх — это «священное» место, часто у слияния рек или у озёр, в которое вложено религиозное значение.</w:t>
      </w:r>
    </w:p>
    <w:p>
      <w:r>
        <w:rPr>
          <w:rFonts w:ascii="Arial" w:hAnsi="Arial"/>
          <w:b w:val="0"/>
          <w:i w:val="0"/>
          <w:color w:val="000000"/>
          <w:sz w:val="22"/>
        </w:rPr>
        <w:t>По учению старого холста, паломничество к этим местам и купание в них очищает человека внутренне.</w:t>
      </w:r>
    </w:p>
    <w:p>
      <w:r>
        <w:rPr>
          <w:rFonts w:ascii="Arial" w:hAnsi="Arial"/>
          <w:b w:val="0"/>
          <w:i w:val="0"/>
          <w:color w:val="000000"/>
          <w:sz w:val="22"/>
        </w:rPr>
        <w:t>Тиртх — место, куда идут ради внутреннего очищения.</w:t>
      </w:r>
    </w:p>
    <w:p>
      <w:r>
        <w:rPr>
          <w:rFonts w:ascii="Arial" w:hAnsi="Arial"/>
          <w:b w:val="0"/>
          <w:i w:val="0"/>
          <w:color w:val="000000"/>
          <w:sz w:val="22"/>
        </w:rPr>
        <w:t>Это НЕ верование Гурмат. Однако слово ТИРТХ встречается в Гурбани множество раз.</w:t>
      </w:r>
    </w:p>
    <w:p>
      <w:r>
        <w:rPr>
          <w:rFonts w:ascii="Arial" w:hAnsi="Arial"/>
          <w:b w:val="0"/>
          <w:i w:val="0"/>
          <w:color w:val="000000"/>
          <w:sz w:val="22"/>
        </w:rPr>
        <w:t>Как сказано выше, оно встречается — как и любая другая концепция до 1469 года — в двух основных контекстах.</w:t>
      </w:r>
    </w:p>
    <w:p>
      <w:r>
        <w:rPr>
          <w:rFonts w:ascii="Arial" w:hAnsi="Arial"/>
          <w:b w:val="0"/>
          <w:i w:val="0"/>
          <w:color w:val="000000"/>
          <w:sz w:val="22"/>
        </w:rPr>
        <w:t>Первый — ОТРИЦАНИЕ понятия тиртхов в Сикхи. Когда кто-то хочет критиковать, отрицать или отвергать тиртхи — он упоминает их прямо по тексту.</w:t>
      </w:r>
    </w:p>
    <w:p>
      <w:r>
        <w:rPr>
          <w:rFonts w:ascii="Arial" w:hAnsi="Arial"/>
          <w:b w:val="0"/>
          <w:i w:val="0"/>
          <w:color w:val="000000"/>
          <w:sz w:val="22"/>
        </w:rPr>
        <w:t>Но само упоминание нельзя принимать за одобрение или пропаганду как принципа Гурмат.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352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rminder_Canvas_teerath-naveiy_kabir_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35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 w:val="0"/>
          <w:i w:val="0"/>
          <w:color w:val="000000"/>
          <w:sz w:val="22"/>
        </w:rPr>
        <w:t>Вот стих Кабира на странице 474 СГГС.</w:t>
      </w:r>
    </w:p>
    <w:p>
      <w:r>
        <w:rPr>
          <w:rFonts w:ascii="Arial" w:hAnsi="Arial"/>
          <w:b/>
          <w:i w:val="0"/>
          <w:color w:val="550000"/>
          <w:sz w:val="26"/>
        </w:rPr>
        <w:t>ਅੰਤਰਿ ਮੈਲੁ ਜੇ ਤੀਰਥ ਨਾਵੈ ਤਿਸੁ ਬੈਕੁੰਠ ਨ ਜਾਨਾਂ ॥</w:t>
      </w:r>
    </w:p>
    <w:p>
      <w:pPr>
        <w:ind w:left="680"/>
      </w:pPr>
      <w:r>
        <w:rPr>
          <w:rFonts w:ascii="Arial" w:hAnsi="Arial"/>
          <w:b w:val="0"/>
          <w:i/>
          <w:color w:val="404040"/>
          <w:sz w:val="20"/>
        </w:rPr>
        <w:t>Antur Mael Jay Teerath Nahvey Tis Baikunth Na Jana. (SGGS, 474)</w:t>
      </w:r>
    </w:p>
    <w:p>
      <w:r>
        <w:rPr>
          <w:rFonts w:ascii="Arial" w:hAnsi="Arial"/>
          <w:b w:val="0"/>
          <w:i w:val="0"/>
          <w:color w:val="000000"/>
          <w:sz w:val="22"/>
        </w:rPr>
        <w:t>Смысл: купание в местах паломничества не устраняет внутреннюю нечистоту и не приведёт на небеса.</w:t>
      </w:r>
    </w:p>
    <w:p>
      <w:r>
        <w:rPr>
          <w:rFonts w:ascii="Arial" w:hAnsi="Arial"/>
          <w:b w:val="0"/>
          <w:i w:val="0"/>
          <w:color w:val="000000"/>
          <w:sz w:val="22"/>
        </w:rPr>
        <w:t>Это критика тиртхов. Заметьте: слово ТИРТХ используется самим Кабиром — но чтобы его ОТВЕРГНУТЬ.</w:t>
      </w:r>
    </w:p>
    <w:p>
      <w:r>
        <w:rPr>
          <w:rFonts w:ascii="Arial" w:hAnsi="Arial"/>
          <w:b w:val="0"/>
          <w:i w:val="0"/>
          <w:color w:val="000000"/>
          <w:sz w:val="22"/>
        </w:rPr>
        <w:t>Вот стих на странице 39 СГГС.</w:t>
      </w:r>
    </w:p>
    <w:p>
      <w:r>
        <w:rPr>
          <w:rFonts w:ascii="Arial" w:hAnsi="Arial"/>
          <w:b/>
          <w:i w:val="0"/>
          <w:color w:val="550000"/>
          <w:sz w:val="26"/>
        </w:rPr>
        <w:t>ਮਲੁ ਹਉਮੈ ਧੋਤੀ ਕਿਵੈ ਨ ਉਤਰੈ ਜੇ ਸਉ ਤੀਰਥ ਨਾਇ ॥</w:t>
      </w:r>
    </w:p>
    <w:p>
      <w:pPr>
        <w:ind w:left="680"/>
      </w:pPr>
      <w:r>
        <w:rPr>
          <w:rFonts w:ascii="Arial" w:hAnsi="Arial"/>
          <w:b w:val="0"/>
          <w:i/>
          <w:color w:val="404040"/>
          <w:sz w:val="20"/>
        </w:rPr>
        <w:t>Mul Haumai Dhotee Kivey na Utrey Jay Sau Teerath Nayeh. (SGGS, 39)</w:t>
      </w:r>
    </w:p>
    <w:p>
      <w:r>
        <w:rPr>
          <w:rFonts w:ascii="Arial" w:hAnsi="Arial"/>
          <w:b w:val="0"/>
          <w:i w:val="0"/>
          <w:color w:val="000000"/>
          <w:sz w:val="22"/>
        </w:rPr>
        <w:t>Смысл: нечистоту человеческого эго нельзя устранить, даже если умоешься в ста тиртхах.</w:t>
      </w:r>
    </w:p>
    <w:p>
      <w:r>
        <w:rPr>
          <w:rFonts w:ascii="Arial" w:hAnsi="Arial"/>
          <w:b w:val="0"/>
          <w:i w:val="0"/>
          <w:color w:val="000000"/>
          <w:sz w:val="22"/>
        </w:rPr>
        <w:t>Это снова критика верования в тиртхи.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808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rminder_canvas_teerath_pilgrimate_1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80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 w:val="0"/>
          <w:i w:val="0"/>
          <w:color w:val="000000"/>
          <w:sz w:val="22"/>
        </w:rPr>
        <w:t>А вот ещё один стих на странице 61 СГГС.</w:t>
      </w:r>
    </w:p>
    <w:p>
      <w:r>
        <w:rPr>
          <w:rFonts w:ascii="Arial" w:hAnsi="Arial"/>
          <w:b/>
          <w:i w:val="0"/>
          <w:color w:val="550000"/>
          <w:sz w:val="26"/>
        </w:rPr>
        <w:t>ਤੀਰਥ ਨਾਤਾ ਕਿਆ ਕਰੇ ਮਨ ਮਹਿ ਮੈਲੁ ਗੁਮਾਨੁ ॥</w:t>
      </w:r>
    </w:p>
    <w:p>
      <w:pPr>
        <w:ind w:left="680"/>
      </w:pPr>
      <w:r>
        <w:rPr>
          <w:rFonts w:ascii="Arial" w:hAnsi="Arial"/>
          <w:b w:val="0"/>
          <w:i/>
          <w:color w:val="404040"/>
          <w:sz w:val="20"/>
        </w:rPr>
        <w:t>Teerath Nahta Kya Krey Mun Keh Mael Guman. (SGGS, 61)</w:t>
      </w:r>
    </w:p>
    <w:p>
      <w:r>
        <w:rPr>
          <w:rFonts w:ascii="Arial" w:hAnsi="Arial"/>
          <w:b w:val="0"/>
          <w:i w:val="0"/>
          <w:color w:val="000000"/>
          <w:sz w:val="22"/>
        </w:rPr>
        <w:t>Смысл: какая польза от омовения в тиртхах, если ум полон нечистоты эго?</w:t>
      </w:r>
    </w:p>
    <w:p>
      <w:r>
        <w:rPr>
          <w:rFonts w:ascii="Arial" w:hAnsi="Arial"/>
          <w:b w:val="0"/>
          <w:i w:val="0"/>
          <w:color w:val="000000"/>
          <w:sz w:val="22"/>
        </w:rPr>
        <w:t>Хотя слово ТИРТХ используется во всех трёх стихах — это никоим образом не утверждение тиртхов.</w:t>
      </w:r>
    </w:p>
    <w:p>
      <w:r>
        <w:rPr>
          <w:rFonts w:ascii="Arial" w:hAnsi="Arial"/>
          <w:b w:val="0"/>
          <w:i w:val="0"/>
          <w:color w:val="000000"/>
          <w:sz w:val="22"/>
        </w:rPr>
        <w:t>Этот стих Гуру Нанака на странице 4 СГГС вводит ПЕРЕОПРЕДЕЛЁННОЕ значение ТИРТХА.</w:t>
      </w:r>
    </w:p>
    <w:p>
      <w:r>
        <w:rPr>
          <w:rFonts w:ascii="Arial" w:hAnsi="Arial"/>
          <w:b/>
          <w:i w:val="0"/>
          <w:color w:val="550000"/>
          <w:sz w:val="26"/>
        </w:rPr>
        <w:t>ਸੁਣਿਆ ਮੰਨਿਆ ਮਨਿ ਕੀਤਾ ਭਾਉ ॥ ਅੰਤਰਗਤਿ ਤੀਰਥਿ ਮਲਿ ਨਾਉ ॥</w:t>
      </w:r>
    </w:p>
    <w:p>
      <w:pPr>
        <w:ind w:left="680"/>
      </w:pPr>
      <w:r>
        <w:rPr>
          <w:rFonts w:ascii="Arial" w:hAnsi="Arial"/>
          <w:b w:val="0"/>
          <w:i/>
          <w:color w:val="404040"/>
          <w:sz w:val="20"/>
        </w:rPr>
        <w:t>Suneya Maniya Mun Keeta Bhao. Anturgat Teerath Mul Naho. (SGGS, 4)</w:t>
      </w:r>
    </w:p>
    <w:p>
      <w:r>
        <w:rPr>
          <w:rFonts w:ascii="Arial" w:hAnsi="Arial"/>
          <w:b w:val="0"/>
          <w:i w:val="0"/>
          <w:color w:val="000000"/>
          <w:sz w:val="22"/>
        </w:rPr>
        <w:t>Смысл: ПРИНЯТИЕ, УСВОЕНИЕ и ВОПЛОЩЕНИЕ Божественных добродетелей внутри ума — вот истинный тиртх.</w:t>
      </w:r>
    </w:p>
    <w:p>
      <w:r>
        <w:rPr>
          <w:rFonts w:ascii="Arial" w:hAnsi="Arial"/>
          <w:b w:val="0"/>
          <w:i w:val="0"/>
          <w:color w:val="000000"/>
          <w:sz w:val="22"/>
        </w:rPr>
        <w:t>Это внутренний тиртх Гурбани.</w:t>
      </w:r>
    </w:p>
    <w:p>
      <w:r>
        <w:rPr>
          <w:rFonts w:ascii="Arial" w:hAnsi="Arial"/>
          <w:b w:val="0"/>
          <w:i w:val="0"/>
          <w:color w:val="000000"/>
          <w:sz w:val="22"/>
        </w:rPr>
        <w:t>Как мы знаем, что в этом стихе применяется ПЕРЕОПРЕДЕЛЁННОЕ значение? Из контекста. А контекст — это послание стиха.</w:t>
      </w:r>
    </w:p>
    <w:p>
      <w:r>
        <w:rPr>
          <w:rFonts w:ascii="Arial" w:hAnsi="Arial"/>
          <w:b w:val="0"/>
          <w:i w:val="0"/>
          <w:color w:val="000000"/>
          <w:sz w:val="22"/>
        </w:rPr>
        <w:t>Вот стих Гуру Нанака на странице 687 СГГС.</w:t>
      </w:r>
    </w:p>
    <w:p>
      <w:r>
        <w:rPr>
          <w:rFonts w:ascii="Arial" w:hAnsi="Arial"/>
          <w:b/>
          <w:i w:val="0"/>
          <w:color w:val="550000"/>
          <w:sz w:val="26"/>
        </w:rPr>
        <w:t>ਧਨਾਸਰੀ ਮਹਲਾ ੧ ॥ ਤੀਰਥਿ ਨਾਵਣ ਜਾਉ ਤੀਰਥੁ ਨਾਮੁ ਹੈ ॥ ਤੀਰਥੁ ਸਬਦ ਬੀਚਾਰੁ ਅੰਤਰਿ ਗਿਆਨੁ ਹੈ ॥</w:t>
      </w:r>
    </w:p>
    <w:p>
      <w:pPr>
        <w:ind w:left="680"/>
      </w:pPr>
      <w:r>
        <w:rPr>
          <w:rFonts w:ascii="Arial" w:hAnsi="Arial"/>
          <w:b w:val="0"/>
          <w:i/>
          <w:color w:val="404040"/>
          <w:sz w:val="20"/>
        </w:rPr>
        <w:t>DHNASRI Mehla 1. Teerath Navhan Jao Teerath Naam Hai. Teerath Shabd Bichar Antur Gyan Hai. (SGGS, 687)</w:t>
      </w:r>
    </w:p>
    <w:p>
      <w:r>
        <w:rPr>
          <w:rFonts w:ascii="Arial" w:hAnsi="Arial"/>
          <w:b w:val="0"/>
          <w:i w:val="0"/>
          <w:color w:val="000000"/>
          <w:sz w:val="22"/>
        </w:rPr>
        <w:t>Смысл: о Ум, иди омойся в Тиртхе Божественных Добродетелей. Тиртх — это размышление о Шабде, это Знание внутри.</w:t>
      </w:r>
    </w:p>
    <w:p>
      <w:r>
        <w:rPr>
          <w:rFonts w:ascii="Arial" w:hAnsi="Arial"/>
          <w:b w:val="0"/>
          <w:i w:val="0"/>
          <w:color w:val="000000"/>
          <w:sz w:val="22"/>
        </w:rPr>
        <w:t>Снова контекст говорит нам, что значение слова ТИРТХ здесь — ПЕРЕОПРЕДЕЛЁННОЕ.</w:t>
      </w:r>
    </w:p>
    <w:p>
      <w:r>
        <w:rPr>
          <w:rFonts w:ascii="Arial" w:hAnsi="Arial"/>
          <w:b w:val="0"/>
          <w:i w:val="0"/>
          <w:color w:val="000000"/>
          <w:sz w:val="22"/>
        </w:rPr>
        <w:t>Гуру Нанак говорит: иди омойся в этом тиртхе — ਤੀਰਥਿ ਨਾਵਣ ਜਾਉ Тиртхи Навхан Джао. Это не Ганг, не Джамуна — это Тиртх Божественных Добродетелей.</w:t>
      </w:r>
    </w:p>
    <w:p>
      <w:r>
        <w:rPr>
          <w:rFonts w:ascii="Arial" w:hAnsi="Arial"/>
          <w:b w:val="0"/>
          <w:i w:val="0"/>
          <w:color w:val="000000"/>
          <w:sz w:val="22"/>
        </w:rPr>
        <w:t>Ещё один стих Гуру Нанака о тиртхах на странице 990 СГГС.</w:t>
      </w:r>
    </w:p>
    <w:p>
      <w:r>
        <w:rPr>
          <w:rFonts w:ascii="Arial" w:hAnsi="Arial"/>
          <w:b/>
          <w:i w:val="0"/>
          <w:color w:val="550000"/>
          <w:sz w:val="26"/>
        </w:rPr>
        <w:t>ਮਾਰੂ ਮਹਲਾ ੧ ॥ ਪਤਿਤ ਪੁਨੀਤ ਅਸੰਖ ਹੋਹਿ ਹਰਿ ਚਰਨੀ ਮਨੁ ਲਾਗ ॥ ਅਠਸਠਿ ਤੀਰਥ ਨਾਮੁ ਪ੍ਰਭ ਨਾਨਕ ਜਿਸੁ ਮਸਤਕਿ ਭਾਗ ॥ ੧ ॥</w:t>
      </w:r>
    </w:p>
    <w:p>
      <w:pPr>
        <w:ind w:left="680"/>
      </w:pPr>
      <w:r>
        <w:rPr>
          <w:rFonts w:ascii="Arial" w:hAnsi="Arial"/>
          <w:b w:val="0"/>
          <w:i/>
          <w:color w:val="404040"/>
          <w:sz w:val="20"/>
        </w:rPr>
        <w:t>Maru Mehla 1. Patit Pimeet Asankh Hohe Har Charni Mun Laag. Athsath Teerath Naam Prabh Nanak Jis Mastuk Bhag. (SGGS, 990)</w:t>
      </w:r>
    </w:p>
    <w:p>
      <w:r>
        <w:rPr>
          <w:rFonts w:ascii="Arial" w:hAnsi="Arial"/>
          <w:b w:val="0"/>
          <w:i w:val="0"/>
          <w:color w:val="000000"/>
          <w:sz w:val="22"/>
        </w:rPr>
        <w:t>Смысл: мои 68 тиртхов — это Божественные Добродетели, через которые я получаю благословения Хари.</w:t>
      </w:r>
    </w:p>
    <w:p>
      <w:r>
        <w:rPr>
          <w:rFonts w:ascii="Arial" w:hAnsi="Arial"/>
          <w:b w:val="0"/>
          <w:i w:val="0"/>
          <w:color w:val="000000"/>
          <w:sz w:val="22"/>
        </w:rPr>
        <w:t>Слово «атхсатх» означает «68». Число 68 — это 68 мест паломничества. Гуру Нанак говорит: все мои 68 мест паломничества — это Имя, Добродетели Творца.</w:t>
      </w:r>
    </w:p>
    <w:p>
      <w:r>
        <w:rPr>
          <w:rFonts w:ascii="Arial" w:hAnsi="Arial"/>
          <w:b w:val="0"/>
          <w:i w:val="0"/>
          <w:color w:val="000000"/>
          <w:sz w:val="22"/>
        </w:rPr>
        <w:t>Ещё один стих Гуру Нанака о переопределении понятия тиртха.</w:t>
      </w:r>
    </w:p>
    <w:p>
      <w:r>
        <w:rPr>
          <w:rFonts w:ascii="Arial" w:hAnsi="Arial"/>
          <w:b/>
          <w:i w:val="0"/>
          <w:color w:val="550000"/>
          <w:sz w:val="26"/>
        </w:rPr>
        <w:t>ਆਸਾ ਮਹਲਾ ੧ ॥ ਨਾਨਕ ਗੁਰ ਸਮਾਨਿ ਤੀਰਥੁ ਨਹੀ ਕੋਈ ਸਾਚੇ ਗੁਰ ਗੋਪਾਲਾ ॥</w:t>
      </w:r>
    </w:p>
    <w:p>
      <w:pPr>
        <w:ind w:left="680"/>
      </w:pPr>
      <w:r>
        <w:rPr>
          <w:rFonts w:ascii="Arial" w:hAnsi="Arial"/>
          <w:b w:val="0"/>
          <w:i/>
          <w:color w:val="404040"/>
          <w:sz w:val="20"/>
        </w:rPr>
        <w:t>Nanak Gur Smaan Teerath Nahi Koye Sachey Gur Gopala. (SGGS, 467)</w:t>
      </w:r>
    </w:p>
    <w:p>
      <w:r>
        <w:rPr>
          <w:rFonts w:ascii="Arial" w:hAnsi="Arial"/>
          <w:b w:val="0"/>
          <w:i w:val="0"/>
          <w:color w:val="000000"/>
          <w:sz w:val="22"/>
        </w:rPr>
        <w:t>Смысл: Нанак, нет иного тиртха, кроме моего Гуру, потому что именно мой Гуру связывает меня с Творцом.</w:t>
      </w:r>
    </w:p>
    <w:p>
      <w:r>
        <w:rPr>
          <w:rFonts w:ascii="Arial" w:hAnsi="Arial"/>
          <w:b w:val="0"/>
          <w:i w:val="0"/>
          <w:color w:val="000000"/>
          <w:sz w:val="22"/>
        </w:rPr>
        <w:t>Наша задача — как Сикхов, стремящихся понять послания наших Гуру и Бхагатов, — выяснять контекст использования каждой концепции в Гурбани.</w:t>
      </w:r>
    </w:p>
    <w:p>
      <w:r>
        <w:rPr>
          <w:rFonts w:ascii="Arial" w:hAnsi="Arial"/>
          <w:b w:val="0"/>
          <w:i w:val="0"/>
          <w:color w:val="000000"/>
          <w:sz w:val="22"/>
        </w:rPr>
        <w:t>Контекст критичен. Нужно понимать: Гурбани — поэзия, поэтому КОНТЕКСТ КРИТИЧЕСКИ ВАЖЕН. Когда мы понимаем контекст — мы понимаем послание.</w:t>
      </w:r>
    </w:p>
    <w:p>
      <w:r>
        <w:rPr>
          <w:rFonts w:ascii="Arial" w:hAnsi="Arial"/>
          <w:b w:val="0"/>
          <w:i w:val="0"/>
          <w:color w:val="000000"/>
          <w:sz w:val="22"/>
        </w:rPr>
        <w:t>Если этот контекст игнорируется — происходят четыре вещи. Первое: Гурбани будет выглядеть противоречивой. Второе: Гурбани будет выглядеть так, будто поддерживает то, что она сама же отвергает. Третье: нас будут легко вводить в заблуждение. Четвёртое: духовенство возьмёт над нами власть.</w:t>
      </w:r>
    </w:p>
    <w:p>
      <w:r>
        <w:rPr>
          <w:rFonts w:ascii="Arial" w:hAnsi="Arial"/>
          <w:b w:val="0"/>
          <w:i w:val="0"/>
          <w:color w:val="000000"/>
          <w:sz w:val="22"/>
        </w:rPr>
        <w:t>Слишком долго слишком многих из нас, Сикхов, водили за нос наши грантхи, рагии и киртаниясы, которые торгуют невежеством и процветают на нём.</w:t>
      </w:r>
    </w:p>
    <w:p>
      <w:r>
        <w:rPr>
          <w:rFonts w:ascii="Arial" w:hAnsi="Arial"/>
          <w:b w:val="0"/>
          <w:i w:val="0"/>
          <w:color w:val="000000"/>
          <w:sz w:val="22"/>
        </w:rPr>
        <w:t>Чтобы класс духовенства выжил, нам, Сикхам, нужно оставаться в плену буквальных утверждений — вроде того, что Яма Дуты существуют в загробной жизни, что надо платить духовенству, чтобы оно молилось за нас.</w:t>
      </w:r>
    </w:p>
    <w:p>
      <w:r>
        <w:rPr>
          <w:rFonts w:ascii="Arial" w:hAnsi="Arial"/>
          <w:b w:val="0"/>
          <w:i w:val="0"/>
          <w:color w:val="000000"/>
          <w:sz w:val="22"/>
        </w:rPr>
        <w:t>Правда в том, что наше нынешнее духовенство боится просвещения — так же, как боялось его духовенство во времена наших Гуру.</w:t>
      </w:r>
    </w:p>
    <w:p>
      <w:r>
        <w:rPr>
          <w:rFonts w:ascii="Arial" w:hAnsi="Arial"/>
          <w:b w:val="0"/>
          <w:i w:val="0"/>
          <w:color w:val="000000"/>
          <w:sz w:val="22"/>
        </w:rPr>
        <w:t>Наши Гуру возвестили:</w:t>
      </w:r>
    </w:p>
    <w:p>
      <w:r>
        <w:rPr>
          <w:rFonts w:ascii="Arial" w:hAnsi="Arial"/>
          <w:b/>
          <w:i w:val="0"/>
          <w:color w:val="550000"/>
          <w:sz w:val="26"/>
        </w:rPr>
        <w:t>ਗੁਰਬਾਣੀ ਇਸੁ ਜਗ ਮਹਿ ਚਾਨਣੁ ਕਰਮਿ ਵਸੈ ਮਨਿ ਆਏ ॥</w:t>
      </w:r>
    </w:p>
    <w:p>
      <w:pPr>
        <w:ind w:left="680"/>
      </w:pPr>
      <w:r>
        <w:rPr>
          <w:rFonts w:ascii="Arial" w:hAnsi="Arial"/>
          <w:b w:val="0"/>
          <w:i/>
          <w:color w:val="404040"/>
          <w:sz w:val="20"/>
        </w:rPr>
        <w:t>Gurbani Esjug Meh Chanan Karm Vseiy Man Aiye (SGGS, 67)</w:t>
      </w:r>
    </w:p>
    <w:p>
      <w:r>
        <w:rPr>
          <w:rFonts w:ascii="Arial" w:hAnsi="Arial"/>
          <w:b w:val="0"/>
          <w:i w:val="0"/>
          <w:color w:val="000000"/>
          <w:sz w:val="22"/>
        </w:rPr>
        <w:t>Смысл: Гурбани — духовное просветление, которое постигается внутри через деяния.</w:t>
      </w:r>
    </w:p>
    <w:p>
      <w:r>
        <w:rPr>
          <w:rFonts w:ascii="Arial" w:hAnsi="Arial"/>
          <w:b w:val="0"/>
          <w:i w:val="0"/>
          <w:color w:val="000000"/>
          <w:sz w:val="22"/>
        </w:rPr>
        <w:t>Гурбани — поистине просветление. Но никакой, даже самый яркий свет не поможет тем, кто предпочитает тьму.</w:t>
      </w:r>
    </w:p>
    <w:p>
      <w:r>
        <w:rPr>
          <w:rFonts w:ascii="Arial" w:hAnsi="Arial"/>
          <w:b w:val="0"/>
          <w:i w:val="0"/>
          <w:color w:val="000000"/>
          <w:sz w:val="22"/>
        </w:rPr>
        <w:t>По существу, Гурбани освободила нас от всего нарратива четырёхтысячелетнего старого холста.</w:t>
      </w:r>
    </w:p>
    <w:p>
      <w:r>
        <w:rPr>
          <w:rFonts w:ascii="Arial" w:hAnsi="Arial"/>
          <w:b w:val="0"/>
          <w:i w:val="0"/>
          <w:color w:val="000000"/>
          <w:sz w:val="22"/>
        </w:rPr>
        <w:t>Освободиться от этого четырёхтысячелетнего холста — значит освободиться от изнуряющих страхов загробного мира, которые держат нас в плену в жизни нынешней.</w:t>
      </w:r>
    </w:p>
    <w:p>
      <w:r>
        <w:rPr>
          <w:rFonts w:ascii="Arial" w:hAnsi="Arial"/>
          <w:b w:val="0"/>
          <w:i w:val="0"/>
          <w:color w:val="000000"/>
          <w:sz w:val="22"/>
        </w:rPr>
        <w:t>Отвержение духовенства было одним из первых шагов, которые сделали Бхагаты, чьи слова вошли в СГГС.</w:t>
      </w:r>
    </w:p>
    <w:p>
      <w:r>
        <w:rPr>
          <w:rFonts w:ascii="Arial" w:hAnsi="Arial"/>
          <w:b w:val="0"/>
          <w:i w:val="0"/>
          <w:color w:val="000000"/>
          <w:sz w:val="22"/>
        </w:rPr>
        <w:t>У Бхагата Кабира в СГГС есть два стиха на эту тему. Первый:</w:t>
      </w:r>
    </w:p>
    <w:p>
      <w:r>
        <w:rPr>
          <w:rFonts w:ascii="Arial" w:hAnsi="Arial"/>
          <w:b/>
          <w:i w:val="0"/>
          <w:color w:val="550000"/>
          <w:sz w:val="26"/>
        </w:rPr>
        <w:t>ਹਮਰਾ ਝਗਰਾ ਰਹਾ ਨ ਕੋਊ ॥ ਪੰਡਿਤ ਮੁਲਾਂ ਛਾਡੇ ਦੋਊ ॥ 1 ॥ ਰਹਾਉ ॥</w:t>
      </w:r>
    </w:p>
    <w:p>
      <w:pPr>
        <w:ind w:left="680"/>
      </w:pPr>
      <w:r>
        <w:rPr>
          <w:rFonts w:ascii="Arial" w:hAnsi="Arial"/>
          <w:b w:val="0"/>
          <w:i/>
          <w:color w:val="404040"/>
          <w:sz w:val="20"/>
        </w:rPr>
        <w:t>Hamra Jhugra Rha Na Kouu. Pandit Mulla Chadey Douu. Rahao. (SGGS, 1159)</w:t>
      </w:r>
    </w:p>
    <w:p>
      <w:r>
        <w:rPr>
          <w:rFonts w:ascii="Arial" w:hAnsi="Arial"/>
          <w:b w:val="0"/>
          <w:i w:val="0"/>
          <w:color w:val="000000"/>
          <w:sz w:val="22"/>
        </w:rPr>
        <w:t>Смысл: конфликт внутри меня завершён. Я оставил позади духовенство (в своём духовном пути).</w:t>
      </w:r>
    </w:p>
    <w:p>
      <w:r>
        <w:rPr>
          <w:rFonts w:ascii="Arial" w:hAnsi="Arial"/>
          <w:b w:val="0"/>
          <w:i w:val="0"/>
          <w:color w:val="000000"/>
          <w:sz w:val="22"/>
        </w:rPr>
        <w:t>Слово «пандит мулла» — собирательное обозначение духовенства того времени. Сикхам нашей эпохи нужно отбросить его современных эквивалентов: грантхи, рагиев, парчараков — всех тех, кто наживается на невежестве.</w:t>
      </w:r>
    </w:p>
    <w:p>
      <w:r>
        <w:rPr>
          <w:rFonts w:ascii="Arial" w:hAnsi="Arial"/>
          <w:b w:val="0"/>
          <w:i w:val="0"/>
          <w:color w:val="000000"/>
          <w:sz w:val="22"/>
        </w:rPr>
        <w:t>Следующий стих Кабира:</w:t>
      </w:r>
    </w:p>
    <w:p>
      <w:r>
        <w:rPr>
          <w:rFonts w:ascii="Arial" w:hAnsi="Arial"/>
          <w:b/>
          <w:i w:val="0"/>
          <w:color w:val="550000"/>
          <w:sz w:val="26"/>
        </w:rPr>
        <w:t>ਪੰਡਿਤ ਮੁਲਾਂ ਜੋ ਲਿਖਿ ਦੀਆ ॥ ਛਾਡਿ ਚਲੇ ਹਮ ਕਛੂ ਨ ਲੀਆ ॥</w:t>
      </w:r>
    </w:p>
    <w:p>
      <w:pPr>
        <w:ind w:left="680"/>
      </w:pPr>
      <w:r>
        <w:rPr>
          <w:rFonts w:ascii="Arial" w:hAnsi="Arial"/>
          <w:b w:val="0"/>
          <w:i/>
          <w:color w:val="404040"/>
          <w:sz w:val="20"/>
        </w:rPr>
        <w:t>Pandit Mulla Jo Likh Deeya. Chaad Chaley Hum Kachoo Na Leeya. (SGGS, 1159)</w:t>
      </w:r>
    </w:p>
    <w:p>
      <w:r>
        <w:rPr>
          <w:rFonts w:ascii="Arial" w:hAnsi="Arial"/>
          <w:b w:val="0"/>
          <w:i w:val="0"/>
          <w:color w:val="000000"/>
          <w:sz w:val="22"/>
        </w:rPr>
        <w:t>Смысл: всё, что духовенство преподнесло нам во имя духовности, — я отбросил, идя своим путём, и не взял с собой ничего.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