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История сикхов по персидским источникам</w:t>
      </w:r>
    </w:p>
    <w:p>
      <w:pPr>
        <w:jc w:val="center"/>
      </w:pPr>
      <w:r>
        <w:rPr>
          <w:i/>
        </w:rPr>
        <w:t>Переводы основных текстов</w:t>
      </w:r>
    </w:p>
    <w:p>
      <w:pPr>
        <w:jc w:val="center"/>
      </w:pPr>
      <w:r>
        <w:t>Под редакцией Дж.С. Грьюэла и Ирфана Хабиба</w:t>
      </w:r>
    </w:p>
    <w:p>
      <w:r>
        <w:t>Tulika Books / Indian History Congress, 2001</w:t>
      </w:r>
    </w:p>
    <w:p>
      <w:r>
        <w:br w:type="page"/>
      </w:r>
    </w:p>
    <w:p>
      <w:pPr>
        <w:pStyle w:val="Heading1"/>
      </w:pPr>
      <w:r>
        <w:t>Содержание</w:t>
      </w:r>
    </w:p>
    <w:p>
      <w:r>
        <w:t>Предисловие</w:t>
      </w:r>
      <w:r>
        <w:rPr>
          <w:b w:val="0"/>
        </w:rPr>
        <w:t xml:space="preserve">  .....  xi</w:t>
      </w:r>
    </w:p>
    <w:p>
      <w:r>
        <w:t>Введение — Дж.С. Грьюэл</w:t>
      </w:r>
      <w:r>
        <w:rPr>
          <w:b w:val="0"/>
        </w:rPr>
        <w:t xml:space="preserve">  .....  1</w:t>
      </w:r>
    </w:p>
    <w:p>
      <w:r>
        <w:t>Примечание переводчиков</w:t>
      </w:r>
      <w:r>
        <w:rPr>
          <w:b w:val="0"/>
        </w:rPr>
        <w:t xml:space="preserve">  .....  48</w:t>
      </w:r>
    </w:p>
    <w:p>
      <w:r>
        <w:t>Карты</w:t>
      </w:r>
      <w:r>
        <w:rPr>
          <w:b w:val="0"/>
        </w:rPr>
        <w:t xml:space="preserve">  .....  51</w:t>
      </w:r>
    </w:p>
    <w:p/>
    <w:p>
      <w:r>
        <w:rPr>
          <w:b/>
        </w:rPr>
        <w:t>ПЕРЕВОДЫ</w:t>
      </w:r>
    </w:p>
    <w:p>
      <w:r>
        <w:t>Текст 1. Встреча Акбара с Гуру Арджаном — из Абу-л Фазла, «Акбар-нама». Перевод: Ширин Мусви</w:t>
      </w:r>
      <w:r>
        <w:rPr>
          <w:b w:val="0"/>
        </w:rPr>
        <w:t xml:space="preserve">  .....  55</w:t>
      </w:r>
    </w:p>
    <w:p>
      <w:r>
        <w:t>Текст 2. Мученичество Гуру Арджана, 1606 — из Джахангира, «Тузук-и Джахангири». Перевод: Ширин Мусви</w:t>
      </w:r>
      <w:r>
        <w:rPr>
          <w:b w:val="0"/>
        </w:rPr>
        <w:t xml:space="preserve">  .....  56</w:t>
      </w:r>
    </w:p>
    <w:p>
      <w:r>
        <w:t>Текст 3. Сикхизм и сикхи, 1645–46 — из «Мобада», «Дабистан-и Мазахиб». Перевод: Ирфан Хабиб</w:t>
      </w:r>
      <w:r>
        <w:rPr>
          <w:b w:val="0"/>
        </w:rPr>
        <w:t xml:space="preserve">  .....  59</w:t>
      </w:r>
    </w:p>
    <w:p>
      <w:r>
        <w:t>Текст 4. Посещение гробницы Гуру Нанака, до 1647 — из Сурат Сингха, «Тазкира Пир Хассу Тели». Перевод: С. Али Надим Резави</w:t>
      </w:r>
      <w:r>
        <w:rPr>
          <w:b w:val="0"/>
        </w:rPr>
        <w:t xml:space="preserve">  .....  85</w:t>
      </w:r>
    </w:p>
    <w:p>
      <w:r>
        <w:t>Текст 5. Сикхи и их история, 1696 — из Суджан Рай Бхандари, «Хуласату-т Таварих». Перевод: Икбал Хусаин</w:t>
      </w:r>
      <w:r>
        <w:rPr>
          <w:b w:val="0"/>
        </w:rPr>
        <w:t xml:space="preserve">  .....  90</w:t>
      </w:r>
    </w:p>
    <w:p>
      <w:r>
        <w:t>Текст 6. Документы о сикхах и Гуру Гобинд Сингхе — из «Ахкам-и Аламгири», 1703–07. Перевод: Ирфан Хабиб</w:t>
      </w:r>
      <w:r>
        <w:rPr>
          <w:b w:val="0"/>
        </w:rPr>
        <w:t xml:space="preserve">  .....  96</w:t>
      </w:r>
    </w:p>
    <w:p>
      <w:r>
        <w:t>Текст 7. Военный подвиг и трагический конец «сына» Гуру Гобинд Сингха, 1708 — из Абду-р Расула, «Найранг-и Замана». Перевод: Ирфан Хабиб</w:t>
      </w:r>
      <w:r>
        <w:rPr>
          <w:b w:val="0"/>
        </w:rPr>
        <w:t xml:space="preserve">  .....  100</w:t>
      </w:r>
    </w:p>
    <w:p>
      <w:r>
        <w:t>Текст 8. Гуру Гобинд Сингх — заметка Бхимсена, 1708. Перевод: Ирфан Хабиб</w:t>
      </w:r>
      <w:r>
        <w:rPr>
          <w:b w:val="0"/>
        </w:rPr>
        <w:t xml:space="preserve">  .....  104</w:t>
      </w:r>
    </w:p>
    <w:p>
      <w:r>
        <w:t>Текст 9. Гуру Гобинд Сингх и сикхи Хальсы — донесения из двора Бахадур Шаха, 1707–12. Перевод: Ирфан Хабиб</w:t>
      </w:r>
      <w:r>
        <w:rPr>
          <w:b w:val="0"/>
        </w:rPr>
        <w:t xml:space="preserve">  .....  106</w:t>
      </w:r>
    </w:p>
    <w:p>
      <w:r>
        <w:t>Текст 10. Гуру Нанак, Гуру Гобинд Сингх и восстание под руководством Банда Бахадура, 1709–10 и 1713–16 — из Мухаммада Касима «Ибрат», «Ибратнама». Перевод: Ирфан Хабиб</w:t>
      </w:r>
      <w:r>
        <w:rPr>
          <w:b w:val="0"/>
        </w:rPr>
        <w:t xml:space="preserve">  .....  110</w:t>
      </w:r>
    </w:p>
    <w:p>
      <w:r>
        <w:t>Текст 11. Восстание Банда Бахадура, 1710–16 — из Мирзы Мухаммада, «Ибратнама». Перевод: Икбал Хусаин</w:t>
      </w:r>
      <w:r>
        <w:rPr>
          <w:b w:val="0"/>
        </w:rPr>
        <w:t xml:space="preserve">  .....  131</w:t>
      </w:r>
    </w:p>
    <w:p>
      <w:r>
        <w:t>Текст 12. Восстание Банда Бахадура, 1710–16 — из Мухаммада Хади Камвар Хана, «Тазкирату-с Салатин Чагхата». Перевод: С. Надим А. Резави</w:t>
      </w:r>
      <w:r>
        <w:rPr>
          <w:b w:val="0"/>
        </w:rPr>
        <w:t xml:space="preserve">  .....  142</w:t>
      </w:r>
    </w:p>
    <w:p>
      <w:r>
        <w:t>Текст 13. Банда Бахадур и его последователи — из Хафи Хана, «Мунтахабу-л Лубаб». Перевод: Маджида Бано</w:t>
      </w:r>
      <w:r>
        <w:rPr>
          <w:b w:val="0"/>
        </w:rPr>
        <w:t xml:space="preserve">  .....  155</w:t>
      </w:r>
    </w:p>
    <w:p>
      <w:r>
        <w:t>Текст 14. Банда Бахадур и его последователи — из Мухаммада Шафи «Варида», «Мир'ат-и Варидат». Перевод: Ирфан Хабиб</w:t>
      </w:r>
      <w:r>
        <w:rPr>
          <w:b w:val="0"/>
        </w:rPr>
        <w:t xml:space="preserve">  .....  160</w:t>
      </w:r>
    </w:p>
    <w:p>
      <w:r>
        <w:t>Текст 15. Гуру Гобинд Сингх и его семья после его смерти, до 1759–60 — из Чатурмана, «Чахар Гулшан». Перевод: Ирфан Хабиб</w:t>
      </w:r>
      <w:r>
        <w:rPr>
          <w:b w:val="0"/>
        </w:rPr>
        <w:t xml:space="preserve">  .....  163</w:t>
      </w:r>
    </w:p>
    <w:p>
      <w:r>
        <w:t>Текст 16. Возрождение сикхской власти в Пенджабе, 1748–64 — из Тахмас Хана, «Кисса-и Тахмас-и Мискин» или «Тахмас-нама». Перевод: Ирфан Хабиб</w:t>
      </w:r>
      <w:r>
        <w:rPr>
          <w:b w:val="0"/>
        </w:rPr>
        <w:t xml:space="preserve">  .....  169</w:t>
      </w:r>
    </w:p>
    <w:p>
      <w:r>
        <w:t>Текст 17. Возрождение сикхской власти в Пенджабе — новостные донесения из Дели, 1759–65. Перевод: Ирфан Хабиб</w:t>
      </w:r>
      <w:r>
        <w:rPr>
          <w:b w:val="0"/>
        </w:rPr>
        <w:t xml:space="preserve">  .....  187</w:t>
      </w:r>
    </w:p>
    <w:p>
      <w:r>
        <w:t>Текст 18. Сопротивление сикхов вторжению Ахмад Шаха Абдали в Пенджаб, 1764–65. Перевод: Иктидар Алам Хан</w:t>
      </w:r>
      <w:r>
        <w:rPr>
          <w:b w:val="0"/>
        </w:rPr>
        <w:t xml:space="preserve">  .....  204</w:t>
      </w:r>
    </w:p>
    <w:p>
      <w:r>
        <w:t>Текст 19. Описание сикхов, 1808 — из Гулам Али Хана, «Имаду-с Саадат». Перевод: Ирфан Хабиб</w:t>
      </w:r>
      <w:r>
        <w:rPr>
          <w:b w:val="0"/>
        </w:rPr>
        <w:t xml:space="preserve">  .....  212</w:t>
      </w:r>
    </w:p>
    <w:p>
      <w:r>
        <w:t>Текст 20. Сикхская община, 1825 — из Джеймса Скиннера, «Ташрих-у-л Аквам». Перевод: Ширин Мусви</w:t>
      </w:r>
      <w:r>
        <w:rPr>
          <w:b w:val="0"/>
        </w:rPr>
        <w:t xml:space="preserve">  .....  217</w:t>
      </w:r>
    </w:p>
    <w:p>
      <w:r>
        <w:t>Указатель</w:t>
      </w:r>
      <w:r>
        <w:rPr>
          <w:b w:val="0"/>
        </w:rPr>
        <w:t xml:space="preserve">  .....  220</w:t>
      </w:r>
    </w:p>
    <w:p>
      <w:r>
        <w:br w:type="page"/>
      </w:r>
    </w:p>
    <w:p>
      <w:pPr>
        <w:pStyle w:val="Heading1"/>
      </w:pPr>
      <w:r>
        <w:t>Предисловие</w:t>
      </w:r>
    </w:p>
    <w:p>
      <w:pPr>
        <w:ind w:firstLine="360"/>
      </w:pPr>
      <w:r>
        <w:t>Индийский исторический конгресс на своей пятьдесят девятой сессии в Университете Панджаб в Патиале в декабре 1998 года принял решение отметить трёхсотлетие Хальса Пантха специальной программой исследований и публикаций. На шестидесятой сессии Конгресса в Университете Каликут 29 декабря 1999 года была организована Панель по истории сикхов, для которой был специально подготовлен ряд научных докладов.</w:t>
      </w:r>
    </w:p>
    <w:p>
      <w:pPr>
        <w:ind w:firstLine="360"/>
      </w:pPr>
      <w:r>
        <w:t>Сама по себе панель не была изолированным событием, а продолжала усилия, последовательно предпринимаемые Индийским историческим конгрессом по развитию всех областей индийской истории. Так, в 1999 году в рамках нашей программы нам удалось выпустить том важных статей по истории сикхов, отобранных из предыдущих материалов ежегодных сессий Конгресса. Он вышел в виде книги в мягкой обложке под названием «История и идеология: Хальса за 300 лет» под редакцией профессоров Дж.С. Грьюэла и Инду Банга.</w:t>
      </w:r>
    </w:p>
    <w:p>
      <w:pPr>
        <w:ind w:firstLine="360"/>
      </w:pPr>
      <w:r>
        <w:t>Пока статьи, представленные на нашей шестидесятой сессии, готовились к отдельному изданию, Индийский исторический конгресс решил восполнить существенный пробел: отсутствие собрания точных переводов важнейших персидских источников по истории сикхов вплоть до 1765 года, когда господство сикхов в Пенджабе окончательно утвердилось.</w:t>
      </w:r>
    </w:p>
    <w:p>
      <w:pPr>
        <w:ind w:firstLine="360"/>
      </w:pPr>
      <w:r>
        <w:t>Профессор Дж.С. Грьюэл любезно согласился руководить проектом, а учёные, связанные с Обществом историков Алигарха, разделили между собой работу по переводу различных текстов. Профессор Ирфан Хабиб не только сам перевёл ряд текстов, но и координировал работу переводчиков и с их согласия просмотрел все переводы, чтобы обеспечить единообразие и последовательность. Наконец, переводы были направлены профессору Грьюэлу, который предоставил ряд пояснений, вошедших в сноски, предложил новые варианты прочтения отдельных мест и внёс исправления в некоторые переводы.</w:t>
      </w:r>
    </w:p>
    <w:p>
      <w:pPr>
        <w:ind w:firstLine="360"/>
      </w:pPr>
      <w:r>
        <w:t>Затем профессор Грьюэл написал Введение, в котором даёт оценку исторической ценности информации, содержащейся в переведённых здесь текстах. Он сделал это, сопоставив её со свидетельствами сикхских источников, хранящихся преимущественно на гурмукхи, и выделив области, где более поздние сикхские источники нередко подтверждаются более ранними персидскими и наоборот, а также сферы, где персидские тексты — особенно в отношении подробностей политической и военной истории — остаются нашим основным источником.</w:t>
      </w:r>
    </w:p>
    <w:p>
      <w:pPr>
        <w:ind w:firstLine="360"/>
      </w:pPr>
      <w:r>
        <w:t>Хочется верить, что все исследователи истории найдут в этом томе ощущение того, как история записывается: за предвзятостью рассказчиков всё же можно различить правду; и не все авторы, представленные в этом сборнике, являются рабами слепых предрассудков.</w:t>
      </w:r>
    </w:p>
    <w:p>
      <w:pPr>
        <w:ind w:firstLine="360"/>
      </w:pPr>
      <w:r>
        <w:t>За воплощение этого тома в жизнь заслуженная благодарность принадлежит как редакторам, так и участникам. Издательство Tulika по-прежнему остаётся нашим соиздателем, и я весьма признателен г-же Инду Чандрасекхар и г-ну Раджендра Прасаду за их любезное сотрудничество.</w:t>
      </w:r>
    </w:p>
    <w:p>
      <w:pPr>
        <w:ind w:firstLine="360"/>
      </w:pPr>
      <w:r>
        <w:t>Работу по компьютерному набору и подготовке оригинал-макета весьма добросовестно выполнил г-н Мунируддин Хан.</w:t>
      </w:r>
    </w:p>
    <w:p>
      <w:pPr>
        <w:ind w:firstLine="360"/>
      </w:pPr>
      <w:r>
        <w:t>Г-н Файз Хабиб при содействии г-на Захур Али Хана составил три карты, помещённые на страницах 52–54.</w:t>
      </w:r>
    </w:p>
    <w:p>
      <w:pPr>
        <w:ind w:firstLine="360"/>
      </w:pPr>
      <w:r>
        <w:t>Издание этого тома не стало бы возможным без щедрых грантов Фонда Анандпур Сахиб (Чандигарх) и Министерства культуры Правительства Индии (Нью-Дели).</w:t>
      </w:r>
    </w:p>
    <w:p>
      <w:pPr>
        <w:ind w:firstLine="360"/>
      </w:pPr>
      <w:r>
        <w:t>Общество историков Алигарха предоставило необходимые компьютерные и копировальные средства, что позволило нам своевременно сдать оригинал-макет в издательство.</w:t>
      </w:r>
    </w:p>
    <w:p>
      <w:pPr>
        <w:jc w:val="right"/>
      </w:pPr>
      <w:r>
        <w:br/>
        <w:t>ШИРИН МУСВИ</w:t>
        <w:br/>
        <w:t>Секретарь</w:t>
        <w:br/>
        <w:t>Индийский исторический конгресс</w:t>
      </w:r>
    </w:p>
    <w:p>
      <w:r>
        <w:br w:type="page"/>
      </w:r>
    </w:p>
    <w:p>
      <w:pPr>
        <w:pStyle w:val="Heading1"/>
      </w:pPr>
      <w:r>
        <w:t>Введение</w:t>
      </w:r>
    </w:p>
    <w:p>
      <w:r>
        <w:rPr>
          <w:i/>
        </w:rPr>
        <w:t>Дж.С. Грьюэл</w:t>
      </w:r>
    </w:p>
    <w:p>
      <w:pPr>
        <w:pStyle w:val="Heading2"/>
      </w:pPr>
      <w:r>
        <w:t>I</w:t>
      </w:r>
    </w:p>
    <w:p>
      <w:pPr>
        <w:ind w:firstLine="360"/>
      </w:pPr>
      <w:r>
        <w:t>Это уникальное собрание переводов из не-сикхских источников по истории сикхов, составленное из двадцати произведений, лишь немногие из которых переводились ранее, да и то не все вместе как свидетельства по истории сикхов. Практически ни одно значимое произведение вплоть до XVIII века не осталось в стороне. Все переводы выполнены заново с наиболее достоверных текстов; каждый перевод предваряется кратким введением и сопровождается примечаниями.</w:t>
      </w:r>
    </w:p>
    <w:p>
      <w:pPr>
        <w:ind w:firstLine="360"/>
      </w:pPr>
      <w:r>
        <w:t>Можно ожидать, что столь полное собрание свидетельств в английском переводе способно произвести революцию в нашем понимании сикхского прошлого. Если этого не произошло, то лишь потому, что значительная часть этих свидетельств уже использовалась рядом историков для реконструкции сикхского прошлого. Иными словами, своего рода историографическая «революция» позади нас. Тeja Singh и Ганда Сингх, например, фрагментарно использовали пятнадцать из этих двадцати произведений. Ни один историк прежде не привлекал все эти свидетельства в совокупности. В своей полноте они производят огромное впечатление. Только Индийский исторический конгресс мог взять на себя эту инициативу, а историки Алигарха могли оказать эту похвальную услугу изучению истории сикхов.</w:t>
      </w:r>
    </w:p>
    <w:p>
      <w:pPr>
        <w:ind w:firstLine="360"/>
      </w:pPr>
      <w:r>
        <w:t>Основная часть этих свидетельств относится примерно к 1600–1765 годам. Однако ряд авторов обращается к Гуру Нанаку и его преемникам, а два из отобранных произведений написаны в первой четверти XIX века. Таким образом, выборка охватывает в определённом смысле весь период сикхской истории вплоть до начала XIX века. Тем не менее вся история сикхов представлена в ней неравномерно: это объяснимо — каждый отдельный автор писал для своих конкретных целей, а не как историк сикхов. Кроме того, за исключением «Дабистана», сведения о сикхизме и сикхах до эпохи Гуру Гобинд Сингха весьма скудны. Зато Банда Бахадуру уделяется значительно больше внимания, чем даже самому Гуру Гобинд Сингху.</w:t>
      </w:r>
    </w:p>
    <w:p>
      <w:pPr>
        <w:ind w:firstLine="360"/>
      </w:pPr>
      <w:r>
        <w:t>Банда Бахадур бросил вызов власти Моголов и основал то, что сикхи считали суверенным государством. Серьёзный характер этого вызова установленному порядку — со всеми его последствиями для множества представителей правящего класса — требовал особого внимания. Тяжесть конфликта объясняет и язык насмешек, презрения, гнева и возмущения, к которому прибегают некоторые авторы, называя сикхов «разрушителями мира и порядка».</w:t>
      </w:r>
    </w:p>
    <w:p>
      <w:pPr>
        <w:ind w:firstLine="360"/>
      </w:pPr>
      <w:r>
        <w:t>Политические интересы авторов ярко отражаются в том, что основное внимание они уделяют периоду восстановления сикхской власти в третьей четверти XVIII века — особенно 1757–58–1765 годам, то есть от перехода прямого управления Пенджабом к афганцам до чеканки сикхской монеты в Лахоре. Именно эти семь-восемь лет решили исход противостояния между сикхами и афганцами. И именно они удостоились наибольшего внимания со стороны авторов, включённых в данный том.</w:t>
      </w:r>
    </w:p>
    <w:p>
      <w:pPr>
        <w:ind w:firstLine="360"/>
      </w:pPr>
      <w:r>
        <w:t>Как и следовало ожидать, основная часть сведений относится к политической истории. Само по себе это не является ограничением: в современных сикхских источниках политическая история практически не освещена. Поэтому эти данные из не-сикхских источников особенно ценны. В сочетании с более поздними сикхскими источниками они образуют фундамент политической истории сикхов в первые три четверти XVIII века. Следует, однако, добавить, что свидетельства авторов, отобранных для этого тома, не ограничиваются политикой. Не только «Дабистан», но и ряд других произведений содержат сведения об общественной и религиозной жизни сикхов, которые могут дать полезное понимание в свете данных сикхских источников. В любом случае, образ сикхов, складывавшийся у не-сикхских авторов время от времени, сам по себе является свидетельством для социального историка.</w:t>
      </w:r>
    </w:p>
    <w:p>
      <w:pPr>
        <w:ind w:firstLine="360"/>
      </w:pPr>
      <w:r>
        <w:t>Авторы принадлежали к нескольким религиозным традициям. Среди индусов и мусульман был один парс и один христианин. Они писали не обязательно с точки зрения своей религии, хотя некоторые из них испытывали влияние своей религиозной принадлежности и социальной идентичности. Одни были веротерпимы или либеральны; другие — сектантски настроены или консервативны. Их отношение к сикхам варьируется от сочувственного до враждебного. Столь же широк диапазон их социального положения — от императора и членов правящего класса до мелких чиновников и соискателей должностей. Личное продвижение, политические цели, литературный или творческий талант, а также желание знать и сообщать служили побудительными мотивами для письма. Они могли быть плохо осведомлены и, безусловно, имели множество бессознательных ограничений как сторонние наблюдатели — далёкие в пространстве,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