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A4FAF4" w14:textId="77777777" w:rsidR="00CB6DBF" w:rsidRDefault="00CB6DBF" w:rsidP="00601B44">
      <w:pPr>
        <w:pStyle w:val="Title"/>
        <w:jc w:val="both"/>
        <w:rPr>
          <w:lang w:bidi="th-TH"/>
        </w:rPr>
      </w:pPr>
    </w:p>
    <w:p w14:paraId="3FB3DA21" w14:textId="1A94BF13" w:rsidR="006F6B95" w:rsidRPr="006D0AFB" w:rsidRDefault="007E5E2C" w:rsidP="007E5E2C">
      <w:pPr>
        <w:tabs>
          <w:tab w:val="left" w:pos="403"/>
          <w:tab w:val="center" w:pos="4680"/>
        </w:tabs>
        <w:rPr>
          <w:sz w:val="48"/>
          <w:szCs w:val="48"/>
        </w:rPr>
      </w:pPr>
      <w:r>
        <w:rPr>
          <w:sz w:val="48"/>
          <w:szCs w:val="48"/>
        </w:rPr>
        <w:tab/>
      </w:r>
      <w:r>
        <w:rPr>
          <w:sz w:val="48"/>
          <w:szCs w:val="48"/>
        </w:rPr>
        <w:tab/>
      </w:r>
      <w:r w:rsidR="00D80B66">
        <w:rPr>
          <w:sz w:val="48"/>
          <w:szCs w:val="48"/>
        </w:rPr>
        <w:t xml:space="preserve">Research </w:t>
      </w:r>
      <w:r w:rsidR="00D54B77">
        <w:rPr>
          <w:sz w:val="48"/>
          <w:szCs w:val="48"/>
        </w:rPr>
        <w:t>Assignment 2</w:t>
      </w:r>
    </w:p>
    <w:p w14:paraId="533C1F55" w14:textId="77777777" w:rsidR="00CB6DBF" w:rsidRPr="00CB6DBF" w:rsidRDefault="00CB6DBF" w:rsidP="00601B44">
      <w:pPr>
        <w:jc w:val="both"/>
      </w:pPr>
    </w:p>
    <w:p w14:paraId="7B7C0882" w14:textId="77777777" w:rsidR="00756654" w:rsidRDefault="00756654" w:rsidP="00601B44">
      <w:pPr>
        <w:jc w:val="both"/>
      </w:pPr>
    </w:p>
    <w:p w14:paraId="59460F40" w14:textId="552B12C5" w:rsidR="00215200" w:rsidRDefault="00215200" w:rsidP="00215200">
      <w:pPr>
        <w:jc w:val="right"/>
        <w:outlineLvl w:val="0"/>
      </w:pPr>
      <w:r>
        <w:t xml:space="preserve">Kan Yuenyong </w:t>
      </w:r>
      <w:r w:rsidRPr="002761B7">
        <w:t>(6220131004)</w:t>
      </w:r>
    </w:p>
    <w:p w14:paraId="6FC3EF40" w14:textId="77777777" w:rsidR="00215200" w:rsidRPr="002761B7" w:rsidRDefault="00215200" w:rsidP="00215200">
      <w:pPr>
        <w:jc w:val="right"/>
      </w:pPr>
      <w:r w:rsidRPr="002761B7">
        <w:t>National Institute of Development Administration</w:t>
      </w:r>
    </w:p>
    <w:p w14:paraId="4ABE64C2" w14:textId="77777777" w:rsidR="00215200" w:rsidRPr="002761B7" w:rsidRDefault="00215200" w:rsidP="00215200">
      <w:pPr>
        <w:jc w:val="right"/>
      </w:pPr>
      <w:r w:rsidRPr="002761B7">
        <w:t>Graduate School of Public Administration</w:t>
      </w:r>
    </w:p>
    <w:p w14:paraId="769A4A57" w14:textId="052C3FB8" w:rsidR="006D50D6" w:rsidRDefault="00215200" w:rsidP="00215200">
      <w:pPr>
        <w:jc w:val="right"/>
      </w:pPr>
      <w:r w:rsidRPr="002761B7">
        <w:t>PhD, Doctor of Philosophy Program in Governance and Development (International)</w:t>
      </w:r>
    </w:p>
    <w:p w14:paraId="4F98315F" w14:textId="77777777" w:rsidR="00037FD7" w:rsidRDefault="00037FD7" w:rsidP="00601B44">
      <w:pPr>
        <w:jc w:val="both"/>
        <w:rPr>
          <w:rFonts w:eastAsia="Times New Roman" w:cs="Times New Roman"/>
        </w:rPr>
      </w:pPr>
    </w:p>
    <w:p w14:paraId="4576D952" w14:textId="77777777" w:rsidR="00756654" w:rsidRDefault="00756654" w:rsidP="00601B44">
      <w:pPr>
        <w:jc w:val="both"/>
        <w:rPr>
          <w:rFonts w:eastAsia="Times New Roman" w:cs="Times New Roman"/>
        </w:rPr>
      </w:pPr>
    </w:p>
    <w:p w14:paraId="6590C2C0" w14:textId="77777777" w:rsidR="00781B4F" w:rsidRDefault="00781B4F" w:rsidP="00781B4F">
      <w:pPr>
        <w:ind w:left="1440" w:right="720"/>
        <w:rPr>
          <w:rFonts w:eastAsia="Times New Roman" w:cs="Times New Roman"/>
        </w:rPr>
      </w:pPr>
    </w:p>
    <w:p w14:paraId="361FA374" w14:textId="4E3C6E18" w:rsidR="009111E0" w:rsidRDefault="009111E0" w:rsidP="009111E0">
      <w:pPr>
        <w:rPr>
          <w:b/>
          <w:bCs/>
          <w:sz w:val="32"/>
          <w:szCs w:val="32"/>
        </w:rPr>
      </w:pPr>
      <w:r>
        <w:rPr>
          <w:b/>
          <w:bCs/>
          <w:sz w:val="32"/>
          <w:szCs w:val="32"/>
        </w:rPr>
        <w:t xml:space="preserve">1. </w:t>
      </w:r>
      <w:r w:rsidR="0066674A">
        <w:rPr>
          <w:b/>
          <w:bCs/>
          <w:sz w:val="32"/>
          <w:szCs w:val="32"/>
        </w:rPr>
        <w:t>Introduction</w:t>
      </w:r>
      <w:r w:rsidR="00D80B66">
        <w:rPr>
          <w:b/>
          <w:bCs/>
          <w:sz w:val="32"/>
          <w:szCs w:val="32"/>
        </w:rPr>
        <w:t xml:space="preserve"> </w:t>
      </w:r>
    </w:p>
    <w:p w14:paraId="43DB5F67" w14:textId="77777777" w:rsidR="004F245A" w:rsidRPr="00737366" w:rsidRDefault="004F245A" w:rsidP="009111E0">
      <w:pPr>
        <w:rPr>
          <w:b/>
          <w:bCs/>
        </w:rPr>
      </w:pPr>
    </w:p>
    <w:p w14:paraId="7903D37C" w14:textId="7EA044FF" w:rsidR="004747E9" w:rsidRDefault="009111E0" w:rsidP="00D80B66">
      <w:pPr>
        <w:jc w:val="both"/>
        <w:rPr>
          <w:rFonts w:eastAsia="Times New Roman" w:cs="Times New Roman"/>
        </w:rPr>
      </w:pPr>
      <w:r>
        <w:rPr>
          <w:rFonts w:eastAsia="Times New Roman" w:cs="Times New Roman"/>
        </w:rPr>
        <w:tab/>
      </w:r>
      <w:r w:rsidR="003F1517">
        <w:rPr>
          <w:rFonts w:eastAsia="Times New Roman" w:cs="Times New Roman"/>
        </w:rPr>
        <w:t>As discussed in Krongkaew</w:t>
      </w:r>
      <w:r w:rsidR="00EC44A8">
        <w:rPr>
          <w:rFonts w:eastAsia="Times New Roman" w:cs="Times New Roman"/>
        </w:rPr>
        <w:t xml:space="preserve"> (1979: 3), in Thailand, there has been a need to address a problem of a reduction of income since 1970’s as mentioned as early as in the Third National Economic Development Plan written in 1972 and later to be more emphasized in The Fourth National Economic and Social Development Plan (1977-1981) to response with the then growing unrest, but there was no precise mechanism to track the implemented policies</w:t>
      </w:r>
      <w:r w:rsidR="00896C7F">
        <w:rPr>
          <w:rFonts w:eastAsia="Times New Roman" w:cs="Times New Roman"/>
        </w:rPr>
        <w:t>, “</w:t>
      </w:r>
      <w:r w:rsidR="00896C7F" w:rsidRPr="00896C7F">
        <w:rPr>
          <w:rFonts w:eastAsia="Times New Roman" w:cs="Times New Roman"/>
          <w:i/>
          <w:iCs/>
        </w:rPr>
        <w:t>what is still much lacking is the knowledge of basic understanding of how the government policies affect the distribution of income of the people</w:t>
      </w:r>
      <w:r w:rsidR="00896C7F">
        <w:rPr>
          <w:rFonts w:eastAsia="Times New Roman" w:cs="Times New Roman"/>
        </w:rPr>
        <w:t>” (Krongkaew, 1979: 4)</w:t>
      </w:r>
      <w:r w:rsidR="00EC44A8">
        <w:rPr>
          <w:rFonts w:eastAsia="Times New Roman" w:cs="Times New Roman"/>
        </w:rPr>
        <w:t xml:space="preserve">. </w:t>
      </w:r>
      <w:r w:rsidR="005F2D87">
        <w:rPr>
          <w:rFonts w:eastAsia="Times New Roman" w:cs="Times New Roman"/>
        </w:rPr>
        <w:t xml:space="preserve">Therefore, he did the study to give this insight. </w:t>
      </w:r>
      <w:r w:rsidR="00896C7F">
        <w:rPr>
          <w:rFonts w:eastAsia="Times New Roman" w:cs="Times New Roman"/>
        </w:rPr>
        <w:t xml:space="preserve">This paper will follow Krongkaew’s study (1979) to demonstrate how we can utilize </w:t>
      </w:r>
      <w:r w:rsidR="00C62D41">
        <w:rPr>
          <w:rFonts w:eastAsia="Times New Roman" w:cs="Times New Roman"/>
        </w:rPr>
        <w:t>fiscal data to analyze impact on the income redistribution to the people.</w:t>
      </w:r>
    </w:p>
    <w:p w14:paraId="2F0027C6" w14:textId="77777777" w:rsidR="00D80B66" w:rsidRDefault="00D80B66" w:rsidP="00D80B66">
      <w:pPr>
        <w:jc w:val="both"/>
        <w:rPr>
          <w:rFonts w:eastAsia="Times New Roman" w:cs="Times New Roman"/>
        </w:rPr>
      </w:pPr>
    </w:p>
    <w:p w14:paraId="639DE5C2" w14:textId="77777777" w:rsidR="00D80B66" w:rsidRDefault="00D80B66" w:rsidP="00D80B66">
      <w:pPr>
        <w:jc w:val="both"/>
        <w:rPr>
          <w:rFonts w:eastAsia="Times New Roman" w:cs="Times New Roman"/>
        </w:rPr>
      </w:pPr>
    </w:p>
    <w:p w14:paraId="6A4A9976" w14:textId="2D009993" w:rsidR="00D80B66" w:rsidRDefault="0040707D" w:rsidP="00D80B66">
      <w:pPr>
        <w:rPr>
          <w:b/>
          <w:bCs/>
          <w:sz w:val="32"/>
          <w:szCs w:val="32"/>
        </w:rPr>
      </w:pPr>
      <w:r>
        <w:rPr>
          <w:b/>
          <w:bCs/>
          <w:sz w:val="32"/>
          <w:szCs w:val="32"/>
        </w:rPr>
        <w:t>2</w:t>
      </w:r>
      <w:r w:rsidR="00D80B66">
        <w:rPr>
          <w:b/>
          <w:bCs/>
          <w:sz w:val="32"/>
          <w:szCs w:val="32"/>
        </w:rPr>
        <w:t xml:space="preserve">. </w:t>
      </w:r>
      <w:r>
        <w:rPr>
          <w:b/>
          <w:bCs/>
          <w:sz w:val="32"/>
          <w:szCs w:val="32"/>
        </w:rPr>
        <w:t>Research Questions</w:t>
      </w:r>
    </w:p>
    <w:p w14:paraId="138229F4" w14:textId="77777777" w:rsidR="00C429FB" w:rsidRDefault="00C429FB" w:rsidP="00AB3062">
      <w:pPr>
        <w:jc w:val="both"/>
        <w:rPr>
          <w:rFonts w:eastAsia="Times New Roman" w:cs="Times New Roman"/>
        </w:rPr>
      </w:pPr>
    </w:p>
    <w:p w14:paraId="05BDB854" w14:textId="28BB95C3" w:rsidR="001953B5" w:rsidRDefault="0040707D" w:rsidP="00AB3062">
      <w:pPr>
        <w:jc w:val="both"/>
        <w:rPr>
          <w:rFonts w:eastAsia="Times New Roman" w:cs="Times New Roman"/>
        </w:rPr>
      </w:pPr>
      <w:r>
        <w:rPr>
          <w:rFonts w:eastAsia="Times New Roman" w:cs="Times New Roman"/>
        </w:rPr>
        <w:tab/>
      </w:r>
      <w:r w:rsidR="00F22678">
        <w:rPr>
          <w:rFonts w:eastAsia="Times New Roman" w:cs="Times New Roman"/>
        </w:rPr>
        <w:t>Given</w:t>
      </w:r>
      <w:r w:rsidR="00133BC7">
        <w:rPr>
          <w:rFonts w:eastAsia="Times New Roman" w:cs="Times New Roman"/>
        </w:rPr>
        <w:t xml:space="preserve"> data from ficti</w:t>
      </w:r>
      <w:r w:rsidR="00C169BB">
        <w:rPr>
          <w:rFonts w:eastAsia="Times New Roman" w:cs="Times New Roman"/>
        </w:rPr>
        <w:t>ti</w:t>
      </w:r>
      <w:r w:rsidR="00133BC7">
        <w:rPr>
          <w:rFonts w:eastAsia="Times New Roman" w:cs="Times New Roman"/>
        </w:rPr>
        <w:t>ous country A</w:t>
      </w:r>
      <w:r w:rsidR="00F22678">
        <w:rPr>
          <w:rFonts w:eastAsia="Times New Roman" w:cs="Times New Roman"/>
        </w:rPr>
        <w:t>, whether the policy can make better income redistribution among the people in the country?</w:t>
      </w:r>
    </w:p>
    <w:p w14:paraId="7B3AFAC9" w14:textId="5A55273C" w:rsidR="009242BF" w:rsidRDefault="001953B5" w:rsidP="00AB3062">
      <w:pPr>
        <w:jc w:val="both"/>
        <w:rPr>
          <w:rFonts w:eastAsia="Times New Roman" w:cs="Times New Roman"/>
        </w:rPr>
      </w:pPr>
      <w:r>
        <w:rPr>
          <w:rFonts w:eastAsia="Times New Roman" w:cs="Times New Roman"/>
        </w:rPr>
        <w:t xml:space="preserve"> </w:t>
      </w:r>
    </w:p>
    <w:p w14:paraId="46C4E622" w14:textId="77777777" w:rsidR="00F5786E" w:rsidRDefault="00F5786E" w:rsidP="00C429FB">
      <w:pPr>
        <w:rPr>
          <w:rFonts w:eastAsia="Times New Roman" w:cs="Times New Roman"/>
        </w:rPr>
      </w:pPr>
    </w:p>
    <w:p w14:paraId="1687B7A7" w14:textId="5032E39E" w:rsidR="001953B5" w:rsidRDefault="002550C3" w:rsidP="001953B5">
      <w:pPr>
        <w:rPr>
          <w:b/>
          <w:bCs/>
          <w:sz w:val="32"/>
          <w:szCs w:val="32"/>
        </w:rPr>
      </w:pPr>
      <w:r>
        <w:rPr>
          <w:b/>
          <w:bCs/>
          <w:sz w:val="32"/>
          <w:szCs w:val="32"/>
        </w:rPr>
        <w:t>3. Literature R</w:t>
      </w:r>
      <w:r w:rsidR="00CE2F86">
        <w:rPr>
          <w:b/>
          <w:bCs/>
          <w:sz w:val="32"/>
          <w:szCs w:val="32"/>
        </w:rPr>
        <w:t>eview</w:t>
      </w:r>
    </w:p>
    <w:p w14:paraId="1DDCBAE8" w14:textId="77777777" w:rsidR="009751C4" w:rsidRDefault="001953B5" w:rsidP="00C429FB">
      <w:pPr>
        <w:rPr>
          <w:rFonts w:eastAsia="Times New Roman" w:cs="Times New Roman"/>
        </w:rPr>
      </w:pPr>
      <w:r>
        <w:rPr>
          <w:rFonts w:eastAsia="Times New Roman" w:cs="Times New Roman"/>
        </w:rPr>
        <w:tab/>
      </w:r>
    </w:p>
    <w:p w14:paraId="3E7C37A6" w14:textId="7B3DAD53" w:rsidR="00DF32EF" w:rsidRDefault="009751C4" w:rsidP="00317878">
      <w:pPr>
        <w:jc w:val="both"/>
        <w:rPr>
          <w:rFonts w:eastAsia="Times New Roman" w:cs="Times New Roman"/>
        </w:rPr>
      </w:pPr>
      <w:r>
        <w:rPr>
          <w:rFonts w:eastAsia="Times New Roman" w:cs="Times New Roman"/>
        </w:rPr>
        <w:tab/>
      </w:r>
      <w:r w:rsidR="00FC2924">
        <w:rPr>
          <w:rFonts w:eastAsia="Times New Roman" w:cs="Times New Roman"/>
        </w:rPr>
        <w:t>There is a discussion of relationship between growth and equ</w:t>
      </w:r>
      <w:r w:rsidR="00E55D7B">
        <w:rPr>
          <w:rFonts w:eastAsia="Times New Roman" w:cs="Times New Roman"/>
        </w:rPr>
        <w:t>ity in Krongkaew (1979: 7) such as we can choose only one objective among the two (Lewis, 1955</w:t>
      </w:r>
      <w:r w:rsidR="004B582B">
        <w:rPr>
          <w:rFonts w:eastAsia="Times New Roman" w:cs="Times New Roman"/>
        </w:rPr>
        <w:t>), or to be identified in a pattern of inverted-U curve on the relationship pattern of growth and equity</w:t>
      </w:r>
      <w:r w:rsidR="00985534">
        <w:rPr>
          <w:rFonts w:eastAsia="Times New Roman" w:cs="Times New Roman"/>
        </w:rPr>
        <w:t xml:space="preserve"> </w:t>
      </w:r>
      <w:r w:rsidR="004B582B">
        <w:rPr>
          <w:rFonts w:eastAsia="Times New Roman" w:cs="Times New Roman"/>
        </w:rPr>
        <w:t>(</w:t>
      </w:r>
      <w:r w:rsidR="00985534">
        <w:rPr>
          <w:rFonts w:eastAsia="Times New Roman" w:cs="Times New Roman"/>
        </w:rPr>
        <w:t>Kuznets, 1963</w:t>
      </w:r>
      <w:r w:rsidR="00E55D7B">
        <w:rPr>
          <w:rFonts w:eastAsia="Times New Roman" w:cs="Times New Roman"/>
        </w:rPr>
        <w:t xml:space="preserve">), </w:t>
      </w:r>
      <w:r w:rsidR="004B582B">
        <w:rPr>
          <w:rFonts w:eastAsia="Times New Roman" w:cs="Times New Roman"/>
        </w:rPr>
        <w:t>in which such pattern has been empirically confirmed by both Kravis (1960) and Oshima (1962)</w:t>
      </w:r>
      <w:r w:rsidR="00D33347">
        <w:rPr>
          <w:rFonts w:eastAsia="Times New Roman" w:cs="Times New Roman"/>
        </w:rPr>
        <w:t xml:space="preserve">, as well as in Adelman and Morris (1971) and a time-series studies in Brazil by Fishlow (1973), in Mexico, Puerto Rico, and Argentina by </w:t>
      </w:r>
      <w:r w:rsidR="00CE6603">
        <w:rPr>
          <w:rFonts w:eastAsia="Times New Roman" w:cs="Times New Roman"/>
        </w:rPr>
        <w:t>W</w:t>
      </w:r>
      <w:r w:rsidR="00D33347">
        <w:rPr>
          <w:rFonts w:eastAsia="Times New Roman" w:cs="Times New Roman"/>
        </w:rPr>
        <w:t>eisskoff (</w:t>
      </w:r>
      <w:r w:rsidR="00CE6603">
        <w:rPr>
          <w:rFonts w:eastAsia="Times New Roman" w:cs="Times New Roman"/>
        </w:rPr>
        <w:t xml:space="preserve">1970). </w:t>
      </w:r>
      <w:r w:rsidR="00C97E0B">
        <w:rPr>
          <w:rFonts w:eastAsia="Times New Roman" w:cs="Times New Roman"/>
        </w:rPr>
        <w:t>However, as found in Ahluwalia (1974; 1976), contrary to Kuznets, it seems unnecessary that economic growth will al</w:t>
      </w:r>
      <w:r w:rsidR="006372CD">
        <w:rPr>
          <w:rFonts w:eastAsia="Times New Roman" w:cs="Times New Roman"/>
        </w:rPr>
        <w:t xml:space="preserve">ways lead to greater inequality, albeit Ahluwalia has found that the cross-country data used in his </w:t>
      </w:r>
      <w:r w:rsidR="00465598">
        <w:rPr>
          <w:rFonts w:eastAsia="Times New Roman" w:cs="Times New Roman"/>
        </w:rPr>
        <w:t>study</w:t>
      </w:r>
      <w:r w:rsidR="006372CD">
        <w:rPr>
          <w:rFonts w:eastAsia="Times New Roman" w:cs="Times New Roman"/>
        </w:rPr>
        <w:t xml:space="preserve"> is not appropriate for this kind of research.</w:t>
      </w:r>
      <w:r w:rsidR="00C97E0B">
        <w:rPr>
          <w:rFonts w:eastAsia="Times New Roman" w:cs="Times New Roman"/>
        </w:rPr>
        <w:t xml:space="preserve"> The negative relation might rather happen in the short run.</w:t>
      </w:r>
      <w:r w:rsidR="00EE7B9D">
        <w:rPr>
          <w:rFonts w:eastAsia="Times New Roman" w:cs="Times New Roman"/>
        </w:rPr>
        <w:t xml:space="preserve"> Those reviews are based in Krongkaew (1979: 7-12). Krongkaew (1979: 16) then suggests that it’s possible to use government as a tool for income redistribution which can be clarified into two </w:t>
      </w:r>
      <w:r w:rsidR="00EE7B9D">
        <w:rPr>
          <w:rFonts w:eastAsia="Times New Roman" w:cs="Times New Roman"/>
        </w:rPr>
        <w:lastRenderedPageBreak/>
        <w:t>categories which are either budgetary policies and non-budgetary policies.</w:t>
      </w:r>
      <w:r w:rsidR="00F0275E">
        <w:rPr>
          <w:rFonts w:eastAsia="Times New Roman" w:cs="Times New Roman"/>
        </w:rPr>
        <w:t xml:space="preserve"> This study, however, will focus on budgetary policies only.</w:t>
      </w:r>
    </w:p>
    <w:p w14:paraId="17A82248" w14:textId="03B9981C" w:rsidR="00E9602B" w:rsidRDefault="00E9602B" w:rsidP="00317878">
      <w:pPr>
        <w:jc w:val="both"/>
        <w:rPr>
          <w:rFonts w:eastAsia="Times New Roman" w:cs="Times New Roman"/>
        </w:rPr>
      </w:pPr>
      <w:r>
        <w:rPr>
          <w:rFonts w:eastAsia="Times New Roman" w:cs="Times New Roman"/>
        </w:rPr>
        <w:tab/>
      </w:r>
    </w:p>
    <w:p w14:paraId="06C4D262" w14:textId="7EDB42A0" w:rsidR="00F5786E" w:rsidRDefault="00E9602B" w:rsidP="00D47D22">
      <w:pPr>
        <w:jc w:val="both"/>
        <w:rPr>
          <w:rFonts w:eastAsia="Times New Roman" w:cs="Times New Roman"/>
        </w:rPr>
      </w:pPr>
      <w:r>
        <w:rPr>
          <w:rFonts w:eastAsia="Times New Roman" w:cs="Times New Roman"/>
        </w:rPr>
        <w:t>Krongkaew (</w:t>
      </w:r>
      <w:r w:rsidR="00334C9D">
        <w:rPr>
          <w:rFonts w:eastAsia="Times New Roman" w:cs="Times New Roman"/>
        </w:rPr>
        <w:t>1979: 38</w:t>
      </w:r>
      <w:r w:rsidR="00763472">
        <w:rPr>
          <w:rFonts w:eastAsia="Times New Roman" w:cs="Times New Roman"/>
        </w:rPr>
        <w:t>-57</w:t>
      </w:r>
      <w:r w:rsidR="00334C9D">
        <w:rPr>
          <w:rFonts w:eastAsia="Times New Roman" w:cs="Times New Roman"/>
        </w:rPr>
        <w:t>) has discussed extensively in the incidences of taxes that</w:t>
      </w:r>
      <w:r w:rsidR="00763472">
        <w:rPr>
          <w:rFonts w:eastAsia="Times New Roman" w:cs="Times New Roman"/>
        </w:rPr>
        <w:t xml:space="preserve"> </w:t>
      </w:r>
      <w:r w:rsidR="00763472" w:rsidRPr="00763472">
        <w:rPr>
          <w:rFonts w:eastAsia="Times New Roman" w:cs="Times New Roman"/>
        </w:rPr>
        <w:t xml:space="preserve">most developing countries tend to collect only a few direct taxes, Thailand </w:t>
      </w:r>
      <w:r w:rsidR="00763472">
        <w:rPr>
          <w:rFonts w:eastAsia="Times New Roman" w:cs="Times New Roman"/>
        </w:rPr>
        <w:t>has to depend</w:t>
      </w:r>
      <w:r w:rsidR="00763472" w:rsidRPr="00763472">
        <w:rPr>
          <w:rFonts w:eastAsia="Times New Roman" w:cs="Times New Roman"/>
        </w:rPr>
        <w:t xml:space="preserve"> on personal income tax </w:t>
      </w:r>
      <w:r w:rsidR="00763472">
        <w:rPr>
          <w:rFonts w:eastAsia="Times New Roman" w:cs="Times New Roman"/>
        </w:rPr>
        <w:t>and</w:t>
      </w:r>
      <w:r w:rsidR="00763472" w:rsidRPr="00763472">
        <w:rPr>
          <w:rFonts w:eastAsia="Times New Roman" w:cs="Times New Roman"/>
        </w:rPr>
        <w:t xml:space="preserve"> corporate income tax, mostly </w:t>
      </w:r>
      <w:r w:rsidR="00763472">
        <w:rPr>
          <w:rFonts w:eastAsia="Times New Roman" w:cs="Times New Roman"/>
        </w:rPr>
        <w:t>exempt to land and property tax; there is</w:t>
      </w:r>
      <w:r w:rsidR="00763472" w:rsidRPr="00763472">
        <w:rPr>
          <w:rFonts w:eastAsia="Times New Roman" w:cs="Times New Roman"/>
        </w:rPr>
        <w:t xml:space="preserve"> no capital gain tax (totally exempt), a lot of exemption on inheritance tax (&gt; 100 million bath are subjected to 1 percent tax) </w:t>
      </w:r>
      <w:r w:rsidR="00763472">
        <w:rPr>
          <w:rFonts w:eastAsia="Times New Roman" w:cs="Times New Roman"/>
        </w:rPr>
        <w:t xml:space="preserve">therefor it needs to </w:t>
      </w:r>
      <w:r w:rsidR="00763472" w:rsidRPr="00763472">
        <w:rPr>
          <w:rFonts w:eastAsia="Times New Roman" w:cs="Times New Roman"/>
        </w:rPr>
        <w:t>rely on few tax</w:t>
      </w:r>
      <w:r w:rsidR="00763472">
        <w:rPr>
          <w:rFonts w:eastAsia="Times New Roman" w:cs="Times New Roman"/>
        </w:rPr>
        <w:t xml:space="preserve"> bases. Whenever there is a </w:t>
      </w:r>
      <w:r w:rsidR="00763472" w:rsidRPr="00763472">
        <w:rPr>
          <w:rFonts w:eastAsia="Times New Roman" w:cs="Times New Roman"/>
        </w:rPr>
        <w:t>decrease</w:t>
      </w:r>
      <w:r w:rsidR="00763472">
        <w:rPr>
          <w:rFonts w:eastAsia="Times New Roman" w:cs="Times New Roman"/>
        </w:rPr>
        <w:t xml:space="preserve"> in </w:t>
      </w:r>
      <w:r w:rsidR="00763472" w:rsidRPr="00763472">
        <w:rPr>
          <w:rFonts w:eastAsia="Times New Roman" w:cs="Times New Roman"/>
        </w:rPr>
        <w:t>tax</w:t>
      </w:r>
      <w:r w:rsidR="00763472">
        <w:rPr>
          <w:rFonts w:eastAsia="Times New Roman" w:cs="Times New Roman"/>
        </w:rPr>
        <w:t xml:space="preserve"> revenue, it seems</w:t>
      </w:r>
      <w:r w:rsidR="00763472" w:rsidRPr="00763472">
        <w:rPr>
          <w:rFonts w:eastAsia="Times New Roman" w:cs="Times New Roman"/>
        </w:rPr>
        <w:t xml:space="preserve"> majority of the rich tends to be exempt of tax </w:t>
      </w:r>
      <w:r w:rsidR="00763472">
        <w:rPr>
          <w:rFonts w:eastAsia="Times New Roman" w:cs="Times New Roman"/>
        </w:rPr>
        <w:t>and thus a failure in</w:t>
      </w:r>
      <w:r w:rsidR="00763472" w:rsidRPr="00763472">
        <w:rPr>
          <w:rFonts w:eastAsia="Times New Roman" w:cs="Times New Roman"/>
        </w:rPr>
        <w:t xml:space="preserve"> wealth </w:t>
      </w:r>
      <w:r w:rsidR="00763472">
        <w:rPr>
          <w:rFonts w:eastAsia="Times New Roman" w:cs="Times New Roman"/>
        </w:rPr>
        <w:t>re</w:t>
      </w:r>
      <w:r w:rsidR="00763472" w:rsidRPr="00763472">
        <w:rPr>
          <w:rFonts w:eastAsia="Times New Roman" w:cs="Times New Roman"/>
        </w:rPr>
        <w:t>distribution</w:t>
      </w:r>
      <w:r w:rsidR="00763472">
        <w:rPr>
          <w:rFonts w:eastAsia="Times New Roman" w:cs="Times New Roman"/>
        </w:rPr>
        <w:t>.</w:t>
      </w:r>
      <w:r w:rsidR="00D47D22">
        <w:rPr>
          <w:rFonts w:eastAsia="Times New Roman" w:cs="Times New Roman"/>
        </w:rPr>
        <w:t xml:space="preserve"> The burden of tax from indirect tax such as sale tax or VAT tend to be shifted to the consumer. This too will generate problem on income redistribution.</w:t>
      </w:r>
    </w:p>
    <w:p w14:paraId="0802002D" w14:textId="77777777" w:rsidR="00EE1FEA" w:rsidRDefault="00EE1FEA" w:rsidP="001953B5">
      <w:pPr>
        <w:rPr>
          <w:b/>
          <w:bCs/>
          <w:sz w:val="32"/>
          <w:szCs w:val="32"/>
        </w:rPr>
      </w:pPr>
    </w:p>
    <w:p w14:paraId="72F36B84" w14:textId="77777777" w:rsidR="00D47D22" w:rsidRDefault="00D47D22" w:rsidP="001953B5">
      <w:pPr>
        <w:rPr>
          <w:b/>
          <w:bCs/>
          <w:sz w:val="32"/>
          <w:szCs w:val="32"/>
        </w:rPr>
      </w:pPr>
    </w:p>
    <w:p w14:paraId="304FCE8D" w14:textId="693FAA7B" w:rsidR="001953B5" w:rsidRDefault="001953B5" w:rsidP="001953B5">
      <w:pPr>
        <w:rPr>
          <w:b/>
          <w:bCs/>
          <w:sz w:val="32"/>
          <w:szCs w:val="32"/>
        </w:rPr>
      </w:pPr>
      <w:r>
        <w:rPr>
          <w:b/>
          <w:bCs/>
          <w:sz w:val="32"/>
          <w:szCs w:val="32"/>
        </w:rPr>
        <w:t xml:space="preserve">4. </w:t>
      </w:r>
      <w:r w:rsidR="002550C3">
        <w:rPr>
          <w:b/>
          <w:bCs/>
          <w:sz w:val="32"/>
          <w:szCs w:val="32"/>
        </w:rPr>
        <w:t>Conceptual F</w:t>
      </w:r>
      <w:r w:rsidR="00CE2F86">
        <w:rPr>
          <w:b/>
          <w:bCs/>
          <w:sz w:val="32"/>
          <w:szCs w:val="32"/>
        </w:rPr>
        <w:t>ramework</w:t>
      </w:r>
    </w:p>
    <w:p w14:paraId="518CD258" w14:textId="77777777" w:rsidR="00F5786E" w:rsidRDefault="00F5786E" w:rsidP="00C429FB">
      <w:pPr>
        <w:rPr>
          <w:rFonts w:eastAsia="Times New Roman" w:cs="Times New Roman"/>
        </w:rPr>
      </w:pPr>
    </w:p>
    <w:p w14:paraId="245606AA" w14:textId="6A8DA19F" w:rsidR="000110C6" w:rsidRDefault="00712A93" w:rsidP="00AB7C37">
      <w:pPr>
        <w:jc w:val="both"/>
        <w:rPr>
          <w:rFonts w:eastAsia="Times New Roman" w:cs="Times New Roman"/>
        </w:rPr>
      </w:pPr>
      <w:r>
        <w:rPr>
          <w:rFonts w:eastAsia="Times New Roman" w:cs="Times New Roman"/>
        </w:rPr>
        <w:tab/>
      </w:r>
      <w:r w:rsidR="00F0275E">
        <w:rPr>
          <w:rFonts w:eastAsia="Times New Roman" w:cs="Times New Roman"/>
        </w:rPr>
        <w:t xml:space="preserve">In this study, we will use </w:t>
      </w:r>
      <w:r w:rsidR="00AB7C37">
        <w:rPr>
          <w:rFonts w:eastAsia="Times New Roman" w:cs="Times New Roman"/>
        </w:rPr>
        <w:t>Tax Incidence Research</w:t>
      </w:r>
      <w:r w:rsidR="00F0275E">
        <w:rPr>
          <w:rFonts w:eastAsia="Times New Roman" w:cs="Times New Roman"/>
        </w:rPr>
        <w:t xml:space="preserve"> to address the impact of income redistribution as follow:</w:t>
      </w:r>
    </w:p>
    <w:p w14:paraId="1147581A" w14:textId="4F0FFD0D" w:rsidR="00F0275E" w:rsidRDefault="00F0275E" w:rsidP="00AB7C37">
      <w:pPr>
        <w:jc w:val="both"/>
        <w:rPr>
          <w:rFonts w:eastAsia="Times New Roman" w:cs="Times New Roman"/>
        </w:rPr>
      </w:pPr>
      <w:r>
        <w:rPr>
          <w:b/>
          <w:bCs/>
          <w:noProof/>
          <w:sz w:val="32"/>
          <w:szCs w:val="32"/>
        </w:rPr>
        <w:drawing>
          <wp:anchor distT="0" distB="0" distL="114300" distR="114300" simplePos="0" relativeHeight="251674624" behindDoc="0" locked="0" layoutInCell="1" allowOverlap="1" wp14:anchorId="0F7411D5" wp14:editId="4B8A2FA1">
            <wp:simplePos x="0" y="0"/>
            <wp:positionH relativeFrom="column">
              <wp:posOffset>89535</wp:posOffset>
            </wp:positionH>
            <wp:positionV relativeFrom="paragraph">
              <wp:posOffset>200025</wp:posOffset>
            </wp:positionV>
            <wp:extent cx="5935980" cy="3006725"/>
            <wp:effectExtent l="0" t="0" r="7620" b="0"/>
            <wp:wrapSquare wrapText="bothSides"/>
            <wp:docPr id="15" name="Picture 15" descr="../../../Screen%20Shot%202021-05-06%20at%2011.51.14%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21-05-06%20at%2011.51.14%20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3006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320A2C" w14:textId="19B85134" w:rsidR="00F0275E" w:rsidRDefault="00F0275E" w:rsidP="00F0275E">
      <w:pPr>
        <w:pStyle w:val="p1"/>
        <w:rPr>
          <w:rFonts w:cs="Times New Roman"/>
        </w:rPr>
      </w:pPr>
    </w:p>
    <w:p w14:paraId="4EF0FACE" w14:textId="24ED53C4" w:rsidR="00F0275E" w:rsidRPr="00F0275E" w:rsidRDefault="00F0275E" w:rsidP="00F0275E">
      <w:pPr>
        <w:jc w:val="center"/>
        <w:rPr>
          <w:sz w:val="20"/>
          <w:szCs w:val="20"/>
        </w:rPr>
      </w:pPr>
      <w:r>
        <w:rPr>
          <w:sz w:val="20"/>
          <w:szCs w:val="20"/>
        </w:rPr>
        <w:t>Figure 1: Research’s Conceptual Framework, Tax Incidence Research</w:t>
      </w:r>
    </w:p>
    <w:p w14:paraId="23A182D8" w14:textId="4FE9D765" w:rsidR="003A3ADB" w:rsidRDefault="003A3ADB" w:rsidP="001953B5">
      <w:pPr>
        <w:rPr>
          <w:b/>
          <w:bCs/>
          <w:sz w:val="32"/>
          <w:szCs w:val="32"/>
        </w:rPr>
      </w:pPr>
    </w:p>
    <w:p w14:paraId="1B4300E5" w14:textId="41592995" w:rsidR="001953B5" w:rsidRDefault="001953B5" w:rsidP="001953B5">
      <w:pPr>
        <w:rPr>
          <w:b/>
          <w:bCs/>
          <w:sz w:val="32"/>
          <w:szCs w:val="32"/>
        </w:rPr>
      </w:pPr>
      <w:r>
        <w:rPr>
          <w:b/>
          <w:bCs/>
          <w:sz w:val="32"/>
          <w:szCs w:val="32"/>
        </w:rPr>
        <w:t xml:space="preserve">5. </w:t>
      </w:r>
      <w:r w:rsidR="00CE2F86">
        <w:rPr>
          <w:b/>
          <w:bCs/>
          <w:sz w:val="32"/>
          <w:szCs w:val="32"/>
        </w:rPr>
        <w:t>Research Methodology</w:t>
      </w:r>
    </w:p>
    <w:p w14:paraId="14E15C9B" w14:textId="77777777" w:rsidR="001953B5" w:rsidRDefault="001953B5" w:rsidP="00C429FB">
      <w:pPr>
        <w:rPr>
          <w:rFonts w:eastAsia="Times New Roman" w:cs="Times New Roman"/>
        </w:rPr>
      </w:pPr>
    </w:p>
    <w:p w14:paraId="7C2FA6D7" w14:textId="4431AA9C" w:rsidR="00C51C59" w:rsidRDefault="001526C9" w:rsidP="003667A8">
      <w:pPr>
        <w:jc w:val="both"/>
        <w:rPr>
          <w:rFonts w:eastAsia="Times New Roman" w:cs="Times New Roman"/>
        </w:rPr>
      </w:pPr>
      <w:r>
        <w:rPr>
          <w:rFonts w:eastAsia="Times New Roman" w:cs="Times New Roman"/>
        </w:rPr>
        <w:tab/>
        <w:t xml:space="preserve">The study will </w:t>
      </w:r>
      <w:r w:rsidR="00C51C59">
        <w:rPr>
          <w:rFonts w:eastAsia="Times New Roman" w:cs="Times New Roman"/>
        </w:rPr>
        <w:t xml:space="preserve">calculate tax according to each </w:t>
      </w:r>
      <w:r w:rsidR="00011626">
        <w:rPr>
          <w:rFonts w:eastAsia="Times New Roman" w:cs="Times New Roman"/>
        </w:rPr>
        <w:t>stratum</w:t>
      </w:r>
      <w:r w:rsidR="00C51C59">
        <w:rPr>
          <w:rFonts w:eastAsia="Times New Roman" w:cs="Times New Roman"/>
        </w:rPr>
        <w:t xml:space="preserve"> in the quintile and shifts in burden on each type of tax to each </w:t>
      </w:r>
      <w:r w:rsidR="00011626">
        <w:rPr>
          <w:rFonts w:eastAsia="Times New Roman" w:cs="Times New Roman"/>
        </w:rPr>
        <w:t>stratum</w:t>
      </w:r>
      <w:r w:rsidR="00C51C59">
        <w:rPr>
          <w:rFonts w:eastAsia="Times New Roman" w:cs="Times New Roman"/>
        </w:rPr>
        <w:t xml:space="preserve"> in the quintile and then calculate the effective tax rate and thus to calculate post-tax income distribution respectively.</w:t>
      </w:r>
    </w:p>
    <w:p w14:paraId="3AB90BD8" w14:textId="77777777" w:rsidR="00C51C59" w:rsidRDefault="00C51C59" w:rsidP="003667A8">
      <w:pPr>
        <w:jc w:val="both"/>
        <w:rPr>
          <w:rFonts w:eastAsia="Times New Roman" w:cs="Times New Roman"/>
        </w:rPr>
      </w:pPr>
    </w:p>
    <w:p w14:paraId="4DA4CC98" w14:textId="4B208C74" w:rsidR="001953B5" w:rsidRDefault="001526C9" w:rsidP="003667A8">
      <w:pPr>
        <w:jc w:val="both"/>
        <w:rPr>
          <w:rFonts w:eastAsia="Times New Roman" w:cs="Times New Roman"/>
        </w:rPr>
      </w:pPr>
      <w:r>
        <w:rPr>
          <w:rFonts w:eastAsia="Times New Roman" w:cs="Times New Roman"/>
        </w:rPr>
        <w:t xml:space="preserve"> </w:t>
      </w:r>
    </w:p>
    <w:p w14:paraId="393617D8" w14:textId="77777777" w:rsidR="00785AE4" w:rsidRDefault="00785AE4" w:rsidP="001953B5">
      <w:pPr>
        <w:rPr>
          <w:b/>
          <w:bCs/>
          <w:sz w:val="32"/>
          <w:szCs w:val="32"/>
        </w:rPr>
      </w:pPr>
    </w:p>
    <w:p w14:paraId="45BD7D55" w14:textId="310CACE6" w:rsidR="001953B5" w:rsidRDefault="00B24240" w:rsidP="001953B5">
      <w:pPr>
        <w:rPr>
          <w:b/>
          <w:bCs/>
          <w:sz w:val="32"/>
          <w:szCs w:val="32"/>
        </w:rPr>
      </w:pPr>
      <w:r>
        <w:rPr>
          <w:b/>
          <w:bCs/>
          <w:sz w:val="32"/>
          <w:szCs w:val="32"/>
        </w:rPr>
        <w:t>5.1</w:t>
      </w:r>
      <w:r w:rsidR="00B55EAB">
        <w:rPr>
          <w:b/>
          <w:bCs/>
          <w:sz w:val="32"/>
          <w:szCs w:val="32"/>
        </w:rPr>
        <w:t xml:space="preserve"> Data Collection</w:t>
      </w:r>
    </w:p>
    <w:p w14:paraId="17A1837B" w14:textId="77777777" w:rsidR="00785AE4" w:rsidRDefault="00785AE4" w:rsidP="00C429FB">
      <w:pPr>
        <w:rPr>
          <w:rFonts w:eastAsia="Times New Roman" w:cs="Times New Roman"/>
        </w:rPr>
      </w:pPr>
    </w:p>
    <w:p w14:paraId="30B16686" w14:textId="6ED008EA" w:rsidR="001467A4" w:rsidRDefault="001467A4" w:rsidP="001467A4">
      <w:pPr>
        <w:jc w:val="both"/>
        <w:rPr>
          <w:rFonts w:eastAsia="Times New Roman" w:cs="Times New Roman"/>
        </w:rPr>
      </w:pPr>
      <w:r>
        <w:rPr>
          <w:rFonts w:eastAsia="Times New Roman" w:cs="Times New Roman"/>
        </w:rPr>
        <w:tab/>
        <w:t>Data on household income distribution and expenditure pattern of household can be found on sources such as: (1) the national statistical office (see socio-economic survey of household, SES), The World Bank (see country study on Poverty Assessment Reports, World Development Indicator, and Expenditure Tacking Survey).</w:t>
      </w:r>
    </w:p>
    <w:p w14:paraId="7CEDD5E8" w14:textId="77777777" w:rsidR="001467A4" w:rsidRDefault="001467A4" w:rsidP="001467A4">
      <w:pPr>
        <w:jc w:val="both"/>
        <w:rPr>
          <w:rFonts w:eastAsia="Times New Roman" w:cs="Times New Roman"/>
        </w:rPr>
      </w:pPr>
    </w:p>
    <w:p w14:paraId="4B34252F" w14:textId="08D56DA0" w:rsidR="001467A4" w:rsidRDefault="001467A4" w:rsidP="001467A4">
      <w:pPr>
        <w:jc w:val="both"/>
        <w:rPr>
          <w:rFonts w:eastAsia="Times New Roman" w:cs="Times New Roman"/>
        </w:rPr>
      </w:pPr>
      <w:r>
        <w:rPr>
          <w:rFonts w:eastAsia="Times New Roman" w:cs="Times New Roman"/>
        </w:rPr>
        <w:t>Data on tax revenue can be found on sources such as: the minister of finance, bureau of the budget, The World Bank (see World Development Indicators), The IMF (see International Financial Statistics and Government Financial Statistics).</w:t>
      </w:r>
    </w:p>
    <w:p w14:paraId="0AEF608A" w14:textId="77777777" w:rsidR="006E2F2A" w:rsidRDefault="006E2F2A" w:rsidP="00785AE4">
      <w:pPr>
        <w:rPr>
          <w:b/>
          <w:bCs/>
          <w:sz w:val="32"/>
          <w:szCs w:val="32"/>
        </w:rPr>
      </w:pPr>
    </w:p>
    <w:p w14:paraId="57BE3241" w14:textId="2F507AC2" w:rsidR="00785AE4" w:rsidRDefault="00B55EAB" w:rsidP="00785AE4">
      <w:pPr>
        <w:rPr>
          <w:b/>
          <w:bCs/>
          <w:sz w:val="32"/>
          <w:szCs w:val="32"/>
        </w:rPr>
      </w:pPr>
      <w:r>
        <w:rPr>
          <w:b/>
          <w:bCs/>
          <w:sz w:val="32"/>
          <w:szCs w:val="32"/>
        </w:rPr>
        <w:t>5.2</w:t>
      </w:r>
      <w:r w:rsidR="00785AE4">
        <w:rPr>
          <w:b/>
          <w:bCs/>
          <w:sz w:val="32"/>
          <w:szCs w:val="32"/>
        </w:rPr>
        <w:t xml:space="preserve"> Data </w:t>
      </w:r>
      <w:r>
        <w:rPr>
          <w:b/>
          <w:bCs/>
          <w:sz w:val="32"/>
          <w:szCs w:val="32"/>
        </w:rPr>
        <w:t>A</w:t>
      </w:r>
      <w:r w:rsidR="00FF535C">
        <w:rPr>
          <w:b/>
          <w:bCs/>
          <w:sz w:val="32"/>
          <w:szCs w:val="32"/>
        </w:rPr>
        <w:t>nalysis</w:t>
      </w:r>
    </w:p>
    <w:p w14:paraId="4BDFA26D" w14:textId="77777777" w:rsidR="00785AE4" w:rsidRDefault="00785AE4" w:rsidP="00785AE4">
      <w:pPr>
        <w:rPr>
          <w:rFonts w:eastAsia="Times New Roman" w:cs="Times New Roman"/>
        </w:rPr>
      </w:pPr>
    </w:p>
    <w:p w14:paraId="1087FC1D" w14:textId="0D6E0798" w:rsidR="00785AE4" w:rsidRDefault="00A14F2B" w:rsidP="001467A4">
      <w:pPr>
        <w:jc w:val="both"/>
        <w:rPr>
          <w:rFonts w:eastAsia="Times New Roman" w:cs="Times New Roman"/>
        </w:rPr>
      </w:pPr>
      <w:r>
        <w:rPr>
          <w:rFonts w:eastAsia="Times New Roman" w:cs="Times New Roman"/>
        </w:rPr>
        <w:tab/>
      </w:r>
      <w:r w:rsidR="00E63E39">
        <w:rPr>
          <w:rFonts w:eastAsia="Times New Roman" w:cs="Times New Roman"/>
        </w:rPr>
        <w:t xml:space="preserve">On this </w:t>
      </w:r>
      <w:r w:rsidR="00A74BED">
        <w:rPr>
          <w:rFonts w:eastAsia="Times New Roman" w:cs="Times New Roman"/>
        </w:rPr>
        <w:t>part,</w:t>
      </w:r>
      <w:r w:rsidR="00E63E39">
        <w:rPr>
          <w:rFonts w:eastAsia="Times New Roman" w:cs="Times New Roman"/>
        </w:rPr>
        <w:t xml:space="preserve"> we will use tax incidence research as mentioned on conceptual framework section to analyze income redistribution im</w:t>
      </w:r>
      <w:r w:rsidR="00824604">
        <w:rPr>
          <w:rFonts w:eastAsia="Times New Roman" w:cs="Times New Roman"/>
        </w:rPr>
        <w:t xml:space="preserve">pacted by tax policy. Table 1 </w:t>
      </w:r>
    </w:p>
    <w:p w14:paraId="4E03E21F" w14:textId="77777777" w:rsidR="00DA1AEB" w:rsidRDefault="00DA1AEB" w:rsidP="001467A4">
      <w:pPr>
        <w:jc w:val="both"/>
        <w:rPr>
          <w:rFonts w:eastAsia="Times New Roman" w:cs="Times New Roman"/>
        </w:rPr>
      </w:pPr>
    </w:p>
    <w:p w14:paraId="0E3E7DDF" w14:textId="0E6F829F" w:rsidR="00E63E39" w:rsidRDefault="00E63E39" w:rsidP="001467A4">
      <w:pPr>
        <w:jc w:val="both"/>
        <w:rPr>
          <w:rFonts w:eastAsia="Times New Roman" w:cs="Times New Roman"/>
        </w:rPr>
      </w:pPr>
      <w:r>
        <w:rPr>
          <w:rFonts w:eastAsia="Times New Roman" w:cs="Times New Roman"/>
        </w:rPr>
        <w:t>Table 1: Household Income Distribution</w:t>
      </w:r>
    </w:p>
    <w:tbl>
      <w:tblPr>
        <w:tblStyle w:val="TableGrid"/>
        <w:tblW w:w="0" w:type="auto"/>
        <w:tblLook w:val="04A0" w:firstRow="1" w:lastRow="0" w:firstColumn="1" w:lastColumn="0" w:noHBand="0" w:noVBand="1"/>
      </w:tblPr>
      <w:tblGrid>
        <w:gridCol w:w="1975"/>
        <w:gridCol w:w="2699"/>
        <w:gridCol w:w="2338"/>
        <w:gridCol w:w="2338"/>
      </w:tblGrid>
      <w:tr w:rsidR="00E63E39" w14:paraId="42B41860" w14:textId="77777777" w:rsidTr="00E63E39">
        <w:tc>
          <w:tcPr>
            <w:tcW w:w="1975" w:type="dxa"/>
            <w:shd w:val="pct5" w:color="auto" w:fill="auto"/>
          </w:tcPr>
          <w:p w14:paraId="2805B9F9" w14:textId="29C1C65B" w:rsidR="00E63E39" w:rsidRDefault="00E63E39" w:rsidP="00E63E39">
            <w:pPr>
              <w:jc w:val="center"/>
              <w:rPr>
                <w:rFonts w:eastAsia="Times New Roman" w:cs="Times New Roman"/>
              </w:rPr>
            </w:pPr>
            <w:r>
              <w:rPr>
                <w:rFonts w:eastAsia="Times New Roman" w:cs="Times New Roman"/>
              </w:rPr>
              <w:t>Income class</w:t>
            </w:r>
          </w:p>
        </w:tc>
        <w:tc>
          <w:tcPr>
            <w:tcW w:w="2699" w:type="dxa"/>
            <w:shd w:val="pct5" w:color="auto" w:fill="auto"/>
          </w:tcPr>
          <w:p w14:paraId="7EBC4285" w14:textId="09E362E2" w:rsidR="00E63E39" w:rsidRDefault="00E63E39" w:rsidP="00E63E39">
            <w:pPr>
              <w:jc w:val="center"/>
              <w:rPr>
                <w:rFonts w:eastAsia="Times New Roman" w:cs="Times New Roman"/>
              </w:rPr>
            </w:pPr>
            <w:r>
              <w:rPr>
                <w:rFonts w:eastAsia="Times New Roman" w:cs="Times New Roman"/>
              </w:rPr>
              <w:t>% of household</w:t>
            </w:r>
          </w:p>
        </w:tc>
        <w:tc>
          <w:tcPr>
            <w:tcW w:w="2338" w:type="dxa"/>
            <w:shd w:val="pct5" w:color="auto" w:fill="auto"/>
          </w:tcPr>
          <w:p w14:paraId="73553910" w14:textId="77777777" w:rsidR="00E63E39" w:rsidRDefault="00E63E39" w:rsidP="00E63E39">
            <w:pPr>
              <w:jc w:val="center"/>
              <w:rPr>
                <w:rFonts w:eastAsia="Times New Roman" w:cs="Times New Roman"/>
              </w:rPr>
            </w:pPr>
            <w:r>
              <w:rPr>
                <w:rFonts w:eastAsia="Times New Roman" w:cs="Times New Roman"/>
              </w:rPr>
              <w:t>Income per month</w:t>
            </w:r>
          </w:p>
          <w:p w14:paraId="1750F572" w14:textId="35CE7C8C" w:rsidR="00E63E39" w:rsidRDefault="00E63E39" w:rsidP="00E63E39">
            <w:pPr>
              <w:jc w:val="center"/>
              <w:rPr>
                <w:rFonts w:eastAsia="Times New Roman" w:cs="Times New Roman"/>
              </w:rPr>
            </w:pPr>
            <w:r>
              <w:rPr>
                <w:rFonts w:eastAsia="Times New Roman" w:cs="Times New Roman"/>
              </w:rPr>
              <w:t>(baht) (average)</w:t>
            </w:r>
          </w:p>
        </w:tc>
        <w:tc>
          <w:tcPr>
            <w:tcW w:w="2338" w:type="dxa"/>
            <w:shd w:val="pct5" w:color="auto" w:fill="auto"/>
          </w:tcPr>
          <w:p w14:paraId="17E4E1B8" w14:textId="4D8CD9BB" w:rsidR="00E63E39" w:rsidRDefault="00E63E39" w:rsidP="00E63E39">
            <w:pPr>
              <w:jc w:val="center"/>
              <w:rPr>
                <w:rFonts w:eastAsia="Times New Roman" w:cs="Times New Roman"/>
              </w:rPr>
            </w:pPr>
            <w:r>
              <w:rPr>
                <w:rFonts w:eastAsia="Times New Roman" w:cs="Times New Roman"/>
              </w:rPr>
              <w:t>% of income</w:t>
            </w:r>
          </w:p>
        </w:tc>
      </w:tr>
      <w:tr w:rsidR="00E63E39" w14:paraId="5C6EB0A1" w14:textId="77777777" w:rsidTr="00E63E39">
        <w:tc>
          <w:tcPr>
            <w:tcW w:w="1975" w:type="dxa"/>
          </w:tcPr>
          <w:p w14:paraId="2F89B0BA" w14:textId="675A5F05" w:rsidR="00E63E39" w:rsidRDefault="00E63E39" w:rsidP="001467A4">
            <w:pPr>
              <w:jc w:val="both"/>
              <w:rPr>
                <w:rFonts w:eastAsia="Times New Roman" w:cs="Times New Roman"/>
              </w:rPr>
            </w:pPr>
          </w:p>
          <w:p w14:paraId="504DA896" w14:textId="77777777" w:rsidR="00E63E39" w:rsidRDefault="00E63E39" w:rsidP="001467A4">
            <w:pPr>
              <w:jc w:val="both"/>
              <w:rPr>
                <w:rFonts w:eastAsia="Times New Roman" w:cs="Times New Roman"/>
              </w:rPr>
            </w:pPr>
            <w:r>
              <w:rPr>
                <w:rFonts w:eastAsia="Times New Roman" w:cs="Times New Roman"/>
              </w:rPr>
              <w:t>1. Lowest income</w:t>
            </w:r>
          </w:p>
          <w:p w14:paraId="5F9B9B6F" w14:textId="77777777" w:rsidR="00E63E39" w:rsidRDefault="00E63E39" w:rsidP="001467A4">
            <w:pPr>
              <w:jc w:val="both"/>
              <w:rPr>
                <w:rFonts w:eastAsia="Times New Roman" w:cs="Times New Roman"/>
              </w:rPr>
            </w:pPr>
            <w:r>
              <w:rPr>
                <w:rFonts w:eastAsia="Times New Roman" w:cs="Times New Roman"/>
              </w:rPr>
              <w:t>2. Low income</w:t>
            </w:r>
          </w:p>
          <w:p w14:paraId="2C310BCA" w14:textId="77777777" w:rsidR="00E63E39" w:rsidRDefault="00E63E39" w:rsidP="001467A4">
            <w:pPr>
              <w:jc w:val="both"/>
              <w:rPr>
                <w:rFonts w:eastAsia="Times New Roman" w:cs="Times New Roman"/>
              </w:rPr>
            </w:pPr>
            <w:r>
              <w:rPr>
                <w:rFonts w:eastAsia="Times New Roman" w:cs="Times New Roman"/>
              </w:rPr>
              <w:t>3. Middle income</w:t>
            </w:r>
          </w:p>
          <w:p w14:paraId="79DB2654" w14:textId="77777777" w:rsidR="00E63E39" w:rsidRDefault="00E63E39" w:rsidP="001467A4">
            <w:pPr>
              <w:jc w:val="both"/>
              <w:rPr>
                <w:rFonts w:eastAsia="Times New Roman" w:cs="Times New Roman"/>
              </w:rPr>
            </w:pPr>
            <w:r>
              <w:rPr>
                <w:rFonts w:eastAsia="Times New Roman" w:cs="Times New Roman"/>
              </w:rPr>
              <w:t>4. High income</w:t>
            </w:r>
          </w:p>
          <w:p w14:paraId="1217EE20" w14:textId="388CE986" w:rsidR="00E63E39" w:rsidRDefault="00E63E39" w:rsidP="001467A4">
            <w:pPr>
              <w:jc w:val="both"/>
              <w:rPr>
                <w:rFonts w:eastAsia="Times New Roman" w:cs="Times New Roman"/>
              </w:rPr>
            </w:pPr>
            <w:r>
              <w:rPr>
                <w:rFonts w:eastAsia="Times New Roman" w:cs="Times New Roman"/>
              </w:rPr>
              <w:t>5. Highest income</w:t>
            </w:r>
          </w:p>
        </w:tc>
        <w:tc>
          <w:tcPr>
            <w:tcW w:w="2699" w:type="dxa"/>
          </w:tcPr>
          <w:p w14:paraId="10E78DAD" w14:textId="77777777" w:rsidR="00E63E39" w:rsidRDefault="00E63E39" w:rsidP="00E63E39">
            <w:pPr>
              <w:jc w:val="center"/>
              <w:rPr>
                <w:rFonts w:eastAsia="Times New Roman" w:cs="Times New Roman"/>
              </w:rPr>
            </w:pPr>
            <w:r>
              <w:rPr>
                <w:rFonts w:eastAsia="Times New Roman" w:cs="Times New Roman"/>
              </w:rPr>
              <w:t>Total = 15.8 million</w:t>
            </w:r>
          </w:p>
          <w:p w14:paraId="23574DD4" w14:textId="77777777" w:rsidR="00E63E39" w:rsidRDefault="00E63E39" w:rsidP="00E63E39">
            <w:pPr>
              <w:jc w:val="right"/>
              <w:rPr>
                <w:rFonts w:eastAsia="Times New Roman" w:cs="Times New Roman"/>
              </w:rPr>
            </w:pPr>
            <w:r>
              <w:rPr>
                <w:rFonts w:eastAsia="Times New Roman" w:cs="Times New Roman"/>
              </w:rPr>
              <w:t>20% (3,160,000)</w:t>
            </w:r>
          </w:p>
          <w:p w14:paraId="1A12F430" w14:textId="77777777" w:rsidR="00E63E39" w:rsidRDefault="00E63E39" w:rsidP="00E63E39">
            <w:pPr>
              <w:jc w:val="right"/>
              <w:rPr>
                <w:rFonts w:eastAsia="Times New Roman" w:cs="Times New Roman"/>
              </w:rPr>
            </w:pPr>
            <w:r>
              <w:rPr>
                <w:rFonts w:eastAsia="Times New Roman" w:cs="Times New Roman"/>
              </w:rPr>
              <w:t>20% (3,160,000)</w:t>
            </w:r>
          </w:p>
          <w:p w14:paraId="642EA250" w14:textId="77777777" w:rsidR="00E63E39" w:rsidRDefault="00E63E39" w:rsidP="00E63E39">
            <w:pPr>
              <w:jc w:val="right"/>
              <w:rPr>
                <w:rFonts w:eastAsia="Times New Roman" w:cs="Times New Roman"/>
              </w:rPr>
            </w:pPr>
            <w:r>
              <w:rPr>
                <w:rFonts w:eastAsia="Times New Roman" w:cs="Times New Roman"/>
              </w:rPr>
              <w:t>20% (3,160,000)</w:t>
            </w:r>
          </w:p>
          <w:p w14:paraId="6C15BED6" w14:textId="77777777" w:rsidR="00E63E39" w:rsidRDefault="00E63E39" w:rsidP="00E63E39">
            <w:pPr>
              <w:jc w:val="right"/>
              <w:rPr>
                <w:rFonts w:eastAsia="Times New Roman" w:cs="Times New Roman"/>
              </w:rPr>
            </w:pPr>
            <w:r>
              <w:rPr>
                <w:rFonts w:eastAsia="Times New Roman" w:cs="Times New Roman"/>
              </w:rPr>
              <w:t>20% (3,160,000)</w:t>
            </w:r>
          </w:p>
          <w:p w14:paraId="3B16ED89" w14:textId="66F2C07C" w:rsidR="00E63E39" w:rsidRDefault="00E63E39" w:rsidP="00E63E39">
            <w:pPr>
              <w:jc w:val="right"/>
              <w:rPr>
                <w:rFonts w:eastAsia="Times New Roman" w:cs="Times New Roman"/>
              </w:rPr>
            </w:pPr>
            <w:r>
              <w:rPr>
                <w:rFonts w:eastAsia="Times New Roman" w:cs="Times New Roman"/>
              </w:rPr>
              <w:t>20% (3,160,000)</w:t>
            </w:r>
          </w:p>
        </w:tc>
        <w:tc>
          <w:tcPr>
            <w:tcW w:w="2338" w:type="dxa"/>
          </w:tcPr>
          <w:p w14:paraId="217326EC" w14:textId="77777777" w:rsidR="00E63E39" w:rsidRDefault="00E63E39" w:rsidP="001467A4">
            <w:pPr>
              <w:jc w:val="both"/>
              <w:rPr>
                <w:rFonts w:eastAsia="Times New Roman" w:cs="Times New Roman"/>
              </w:rPr>
            </w:pPr>
          </w:p>
          <w:p w14:paraId="59A8FB88" w14:textId="77777777" w:rsidR="00E63E39" w:rsidRDefault="00E63E39" w:rsidP="00E63E39">
            <w:pPr>
              <w:jc w:val="right"/>
              <w:rPr>
                <w:rFonts w:eastAsia="Times New Roman" w:cs="Times New Roman"/>
              </w:rPr>
            </w:pPr>
            <w:r>
              <w:rPr>
                <w:rFonts w:eastAsia="Times New Roman" w:cs="Times New Roman"/>
              </w:rPr>
              <w:t>4,197</w:t>
            </w:r>
          </w:p>
          <w:p w14:paraId="537906F1" w14:textId="77777777" w:rsidR="00E63E39" w:rsidRDefault="00E63E39" w:rsidP="00E63E39">
            <w:pPr>
              <w:jc w:val="right"/>
              <w:rPr>
                <w:rFonts w:eastAsia="Times New Roman" w:cs="Times New Roman"/>
              </w:rPr>
            </w:pPr>
            <w:r>
              <w:rPr>
                <w:rFonts w:eastAsia="Times New Roman" w:cs="Times New Roman"/>
              </w:rPr>
              <w:t>6,259</w:t>
            </w:r>
          </w:p>
          <w:p w14:paraId="203F4544" w14:textId="77777777" w:rsidR="00E63E39" w:rsidRDefault="00E63E39" w:rsidP="00E63E39">
            <w:pPr>
              <w:jc w:val="right"/>
              <w:rPr>
                <w:rFonts w:eastAsia="Times New Roman" w:cs="Times New Roman"/>
              </w:rPr>
            </w:pPr>
            <w:r>
              <w:rPr>
                <w:rFonts w:eastAsia="Times New Roman" w:cs="Times New Roman"/>
              </w:rPr>
              <w:t>8,365</w:t>
            </w:r>
          </w:p>
          <w:p w14:paraId="5E5E6EE7" w14:textId="77777777" w:rsidR="00E63E39" w:rsidRDefault="00E63E39" w:rsidP="00E63E39">
            <w:pPr>
              <w:jc w:val="right"/>
              <w:rPr>
                <w:rFonts w:eastAsia="Times New Roman" w:cs="Times New Roman"/>
              </w:rPr>
            </w:pPr>
            <w:r>
              <w:rPr>
                <w:rFonts w:eastAsia="Times New Roman" w:cs="Times New Roman"/>
              </w:rPr>
              <w:t>11,279</w:t>
            </w:r>
          </w:p>
          <w:p w14:paraId="79A3652D" w14:textId="6A8604F6" w:rsidR="00E63E39" w:rsidRDefault="00E63E39" w:rsidP="00E63E39">
            <w:pPr>
              <w:jc w:val="right"/>
              <w:rPr>
                <w:rFonts w:eastAsia="Times New Roman" w:cs="Times New Roman"/>
              </w:rPr>
            </w:pPr>
            <w:r>
              <w:rPr>
                <w:rFonts w:eastAsia="Times New Roman" w:cs="Times New Roman"/>
              </w:rPr>
              <w:t>21,335</w:t>
            </w:r>
          </w:p>
        </w:tc>
        <w:tc>
          <w:tcPr>
            <w:tcW w:w="2338" w:type="dxa"/>
          </w:tcPr>
          <w:p w14:paraId="72A8864E" w14:textId="77777777" w:rsidR="00E63E39" w:rsidRDefault="00E63E39" w:rsidP="001467A4">
            <w:pPr>
              <w:jc w:val="both"/>
              <w:rPr>
                <w:rFonts w:eastAsia="Times New Roman" w:cs="Times New Roman"/>
              </w:rPr>
            </w:pPr>
          </w:p>
          <w:p w14:paraId="46354A15" w14:textId="77777777" w:rsidR="00E63E39" w:rsidRDefault="00E63E39" w:rsidP="00E63E39">
            <w:pPr>
              <w:jc w:val="right"/>
              <w:rPr>
                <w:rFonts w:eastAsia="Times New Roman" w:cs="Times New Roman"/>
              </w:rPr>
            </w:pPr>
            <w:r>
              <w:rPr>
                <w:rFonts w:eastAsia="Times New Roman" w:cs="Times New Roman"/>
              </w:rPr>
              <w:t>8.16</w:t>
            </w:r>
          </w:p>
          <w:p w14:paraId="7E6C7CD0" w14:textId="77777777" w:rsidR="00E63E39" w:rsidRDefault="00E63E39" w:rsidP="00E63E39">
            <w:pPr>
              <w:jc w:val="right"/>
              <w:rPr>
                <w:rFonts w:eastAsia="Times New Roman" w:cs="Times New Roman"/>
              </w:rPr>
            </w:pPr>
            <w:r>
              <w:rPr>
                <w:rFonts w:eastAsia="Times New Roman" w:cs="Times New Roman"/>
              </w:rPr>
              <w:t>12.17</w:t>
            </w:r>
          </w:p>
          <w:p w14:paraId="6642F81B" w14:textId="77777777" w:rsidR="00E63E39" w:rsidRDefault="00E63E39" w:rsidP="00E63E39">
            <w:pPr>
              <w:jc w:val="right"/>
              <w:rPr>
                <w:rFonts w:eastAsia="Times New Roman" w:cs="Times New Roman"/>
              </w:rPr>
            </w:pPr>
            <w:r>
              <w:rPr>
                <w:rFonts w:eastAsia="Times New Roman" w:cs="Times New Roman"/>
              </w:rPr>
              <w:t>16.26</w:t>
            </w:r>
          </w:p>
          <w:p w14:paraId="377D6942" w14:textId="77777777" w:rsidR="00E63E39" w:rsidRDefault="00E63E39" w:rsidP="00E63E39">
            <w:pPr>
              <w:jc w:val="right"/>
              <w:rPr>
                <w:rFonts w:eastAsia="Times New Roman" w:cs="Times New Roman"/>
              </w:rPr>
            </w:pPr>
            <w:r>
              <w:rPr>
                <w:rFonts w:eastAsia="Times New Roman" w:cs="Times New Roman"/>
              </w:rPr>
              <w:t>21.93</w:t>
            </w:r>
          </w:p>
          <w:p w14:paraId="0C6D6956" w14:textId="5308CB9F" w:rsidR="00E63E39" w:rsidRDefault="00E63E39" w:rsidP="00E63E39">
            <w:pPr>
              <w:jc w:val="right"/>
              <w:rPr>
                <w:rFonts w:eastAsia="Times New Roman" w:cs="Times New Roman"/>
              </w:rPr>
            </w:pPr>
            <w:r>
              <w:rPr>
                <w:rFonts w:eastAsia="Times New Roman" w:cs="Times New Roman"/>
              </w:rPr>
              <w:t>41.48</w:t>
            </w:r>
          </w:p>
        </w:tc>
      </w:tr>
      <w:tr w:rsidR="00E63E39" w14:paraId="35AC3032" w14:textId="77777777" w:rsidTr="00E63E39">
        <w:trPr>
          <w:trHeight w:val="260"/>
        </w:trPr>
        <w:tc>
          <w:tcPr>
            <w:tcW w:w="1975" w:type="dxa"/>
          </w:tcPr>
          <w:p w14:paraId="1D7AE6A9" w14:textId="613BED3B" w:rsidR="00E63E39" w:rsidRDefault="00E63E39" w:rsidP="001467A4">
            <w:pPr>
              <w:jc w:val="both"/>
              <w:rPr>
                <w:rFonts w:eastAsia="Times New Roman" w:cs="Times New Roman"/>
              </w:rPr>
            </w:pPr>
            <w:r>
              <w:rPr>
                <w:rFonts w:eastAsia="Times New Roman" w:cs="Times New Roman"/>
              </w:rPr>
              <w:t>Total</w:t>
            </w:r>
          </w:p>
        </w:tc>
        <w:tc>
          <w:tcPr>
            <w:tcW w:w="2699" w:type="dxa"/>
          </w:tcPr>
          <w:p w14:paraId="0EEF9087" w14:textId="54F8ECE8" w:rsidR="00E63E39" w:rsidRDefault="00E63E39" w:rsidP="00E63E39">
            <w:pPr>
              <w:jc w:val="right"/>
              <w:rPr>
                <w:rFonts w:eastAsia="Times New Roman" w:cs="Times New Roman"/>
              </w:rPr>
            </w:pPr>
            <w:r>
              <w:rPr>
                <w:rFonts w:eastAsia="Times New Roman" w:cs="Times New Roman"/>
              </w:rPr>
              <w:t>100%</w:t>
            </w:r>
          </w:p>
        </w:tc>
        <w:tc>
          <w:tcPr>
            <w:tcW w:w="2338" w:type="dxa"/>
          </w:tcPr>
          <w:p w14:paraId="17884830" w14:textId="32794DC0" w:rsidR="00E63E39" w:rsidRDefault="00E63E39" w:rsidP="00E63E39">
            <w:pPr>
              <w:jc w:val="right"/>
              <w:rPr>
                <w:rFonts w:eastAsia="Times New Roman" w:cs="Times New Roman"/>
              </w:rPr>
            </w:pPr>
            <w:r>
              <w:rPr>
                <w:rFonts w:eastAsia="Times New Roman" w:cs="Times New Roman"/>
              </w:rPr>
              <w:t>51,434</w:t>
            </w:r>
          </w:p>
        </w:tc>
        <w:tc>
          <w:tcPr>
            <w:tcW w:w="2338" w:type="dxa"/>
          </w:tcPr>
          <w:p w14:paraId="6246154E" w14:textId="13786EC7" w:rsidR="00E63E39" w:rsidRDefault="00E63E39" w:rsidP="00E63E39">
            <w:pPr>
              <w:jc w:val="right"/>
              <w:rPr>
                <w:rFonts w:eastAsia="Times New Roman" w:cs="Times New Roman"/>
              </w:rPr>
            </w:pPr>
            <w:r>
              <w:rPr>
                <w:rFonts w:eastAsia="Times New Roman" w:cs="Times New Roman"/>
              </w:rPr>
              <w:t>100</w:t>
            </w:r>
          </w:p>
        </w:tc>
      </w:tr>
    </w:tbl>
    <w:p w14:paraId="0606A518" w14:textId="77777777" w:rsidR="00DA1AEB" w:rsidRDefault="00DA1AEB" w:rsidP="001467A4">
      <w:pPr>
        <w:jc w:val="both"/>
        <w:rPr>
          <w:rFonts w:eastAsia="Times New Roman" w:cs="Times New Roman"/>
        </w:rPr>
      </w:pPr>
    </w:p>
    <w:p w14:paraId="7DBC7FC4" w14:textId="77777777" w:rsidR="00FF535C" w:rsidRDefault="00FF535C" w:rsidP="00AE3DBB"/>
    <w:p w14:paraId="43B0DC6D" w14:textId="38038F08" w:rsidR="00FF535C" w:rsidRPr="00E63E39" w:rsidRDefault="00E63E39" w:rsidP="00E63E39">
      <w:pPr>
        <w:jc w:val="both"/>
        <w:rPr>
          <w:rFonts w:eastAsia="Times New Roman" w:cs="Times New Roman"/>
        </w:rPr>
      </w:pPr>
      <w:r>
        <w:rPr>
          <w:rFonts w:eastAsia="Times New Roman" w:cs="Times New Roman"/>
        </w:rPr>
        <w:t>Table 2: Consumption Expenditure Spent by Each Income Class</w:t>
      </w:r>
    </w:p>
    <w:tbl>
      <w:tblPr>
        <w:tblStyle w:val="TableGrid"/>
        <w:tblW w:w="0" w:type="auto"/>
        <w:tblLook w:val="04A0" w:firstRow="1" w:lastRow="0" w:firstColumn="1" w:lastColumn="0" w:noHBand="0" w:noVBand="1"/>
      </w:tblPr>
      <w:tblGrid>
        <w:gridCol w:w="1975"/>
        <w:gridCol w:w="1765"/>
        <w:gridCol w:w="1870"/>
        <w:gridCol w:w="1870"/>
        <w:gridCol w:w="1870"/>
      </w:tblGrid>
      <w:tr w:rsidR="00E63E39" w14:paraId="6194ABC8" w14:textId="77777777" w:rsidTr="00E63E39">
        <w:tc>
          <w:tcPr>
            <w:tcW w:w="1975" w:type="dxa"/>
            <w:shd w:val="pct5" w:color="auto" w:fill="auto"/>
          </w:tcPr>
          <w:p w14:paraId="331EE8CE" w14:textId="3BE46A69" w:rsidR="00E63E39" w:rsidRDefault="00E63E39" w:rsidP="00AE3DBB">
            <w:r>
              <w:t>Income class</w:t>
            </w:r>
          </w:p>
        </w:tc>
        <w:tc>
          <w:tcPr>
            <w:tcW w:w="1765" w:type="dxa"/>
            <w:shd w:val="pct5" w:color="auto" w:fill="auto"/>
          </w:tcPr>
          <w:p w14:paraId="43D6010D" w14:textId="44D3046D" w:rsidR="00E63E39" w:rsidRDefault="00E63E39" w:rsidP="00AE3DBB">
            <w:r>
              <w:t>Proportion of Income spent on personal income tax (%)</w:t>
            </w:r>
          </w:p>
        </w:tc>
        <w:tc>
          <w:tcPr>
            <w:tcW w:w="1870" w:type="dxa"/>
            <w:shd w:val="pct5" w:color="auto" w:fill="auto"/>
          </w:tcPr>
          <w:p w14:paraId="03F31DE0" w14:textId="6E5DB1F8" w:rsidR="00E63E39" w:rsidRDefault="00E63E39" w:rsidP="00AE3DBB">
            <w:r>
              <w:t>Proportion of Income spent on General Consumption (%)</w:t>
            </w:r>
          </w:p>
        </w:tc>
        <w:tc>
          <w:tcPr>
            <w:tcW w:w="1870" w:type="dxa"/>
            <w:shd w:val="pct5" w:color="auto" w:fill="auto"/>
          </w:tcPr>
          <w:p w14:paraId="20CDDF29" w14:textId="1B817846" w:rsidR="00E63E39" w:rsidRDefault="00E63E39" w:rsidP="00AE3DBB">
            <w:r>
              <w:t>Proportion of Income spent on liquor and Tobacco (%)</w:t>
            </w:r>
          </w:p>
        </w:tc>
        <w:tc>
          <w:tcPr>
            <w:tcW w:w="1870" w:type="dxa"/>
            <w:shd w:val="pct5" w:color="auto" w:fill="auto"/>
          </w:tcPr>
          <w:p w14:paraId="14F6F7FF" w14:textId="50EFCE99" w:rsidR="00E63E39" w:rsidRDefault="00E63E39" w:rsidP="00AE3DBB">
            <w:r>
              <w:t>Proportion of Income spent on Transportation (%)</w:t>
            </w:r>
          </w:p>
        </w:tc>
      </w:tr>
      <w:tr w:rsidR="00E63E39" w14:paraId="27C685D3" w14:textId="77777777" w:rsidTr="00E63E39">
        <w:trPr>
          <w:trHeight w:val="1412"/>
        </w:trPr>
        <w:tc>
          <w:tcPr>
            <w:tcW w:w="1975" w:type="dxa"/>
          </w:tcPr>
          <w:p w14:paraId="2F24EAC0" w14:textId="77777777" w:rsidR="00E63E39" w:rsidRDefault="00E63E39" w:rsidP="00E63E39">
            <w:pPr>
              <w:jc w:val="both"/>
              <w:rPr>
                <w:rFonts w:eastAsia="Times New Roman" w:cs="Times New Roman"/>
              </w:rPr>
            </w:pPr>
            <w:r>
              <w:rPr>
                <w:rFonts w:eastAsia="Times New Roman" w:cs="Times New Roman"/>
              </w:rPr>
              <w:t>1. Lowest income</w:t>
            </w:r>
          </w:p>
          <w:p w14:paraId="364E827F" w14:textId="77777777" w:rsidR="00E63E39" w:rsidRDefault="00E63E39" w:rsidP="00E63E39">
            <w:pPr>
              <w:jc w:val="both"/>
              <w:rPr>
                <w:rFonts w:eastAsia="Times New Roman" w:cs="Times New Roman"/>
              </w:rPr>
            </w:pPr>
            <w:r>
              <w:rPr>
                <w:rFonts w:eastAsia="Times New Roman" w:cs="Times New Roman"/>
              </w:rPr>
              <w:t>2. Low income</w:t>
            </w:r>
          </w:p>
          <w:p w14:paraId="7CF10532" w14:textId="77777777" w:rsidR="00E63E39" w:rsidRDefault="00E63E39" w:rsidP="00E63E39">
            <w:pPr>
              <w:jc w:val="both"/>
              <w:rPr>
                <w:rFonts w:eastAsia="Times New Roman" w:cs="Times New Roman"/>
              </w:rPr>
            </w:pPr>
            <w:r>
              <w:rPr>
                <w:rFonts w:eastAsia="Times New Roman" w:cs="Times New Roman"/>
              </w:rPr>
              <w:t>3. Middle income</w:t>
            </w:r>
          </w:p>
          <w:p w14:paraId="45613ECF" w14:textId="77777777" w:rsidR="00E63E39" w:rsidRDefault="00E63E39" w:rsidP="00E63E39">
            <w:pPr>
              <w:jc w:val="both"/>
              <w:rPr>
                <w:rFonts w:eastAsia="Times New Roman" w:cs="Times New Roman"/>
              </w:rPr>
            </w:pPr>
            <w:r>
              <w:rPr>
                <w:rFonts w:eastAsia="Times New Roman" w:cs="Times New Roman"/>
              </w:rPr>
              <w:t>4. High income</w:t>
            </w:r>
          </w:p>
          <w:p w14:paraId="1F8EEFB3" w14:textId="3EB3578D" w:rsidR="00E63E39" w:rsidRDefault="00E63E39" w:rsidP="00E63E39">
            <w:r>
              <w:rPr>
                <w:rFonts w:eastAsia="Times New Roman" w:cs="Times New Roman"/>
              </w:rPr>
              <w:t>5. Highest income</w:t>
            </w:r>
          </w:p>
        </w:tc>
        <w:tc>
          <w:tcPr>
            <w:tcW w:w="1765" w:type="dxa"/>
          </w:tcPr>
          <w:p w14:paraId="01329996" w14:textId="77777777" w:rsidR="00E63E39" w:rsidRDefault="00E63E39" w:rsidP="00E63E39">
            <w:pPr>
              <w:jc w:val="right"/>
            </w:pPr>
            <w:r>
              <w:t>1.87</w:t>
            </w:r>
          </w:p>
          <w:p w14:paraId="2433A04D" w14:textId="77777777" w:rsidR="00E63E39" w:rsidRDefault="00E63E39" w:rsidP="00E63E39">
            <w:pPr>
              <w:jc w:val="right"/>
            </w:pPr>
            <w:r>
              <w:t>2.08</w:t>
            </w:r>
          </w:p>
          <w:p w14:paraId="78420840" w14:textId="77777777" w:rsidR="00E63E39" w:rsidRDefault="00E63E39" w:rsidP="00E63E39">
            <w:pPr>
              <w:jc w:val="right"/>
            </w:pPr>
            <w:r>
              <w:t>16.32</w:t>
            </w:r>
          </w:p>
          <w:p w14:paraId="6D137E33" w14:textId="77777777" w:rsidR="00E63E39" w:rsidRDefault="00E63E39" w:rsidP="00E63E39">
            <w:pPr>
              <w:jc w:val="right"/>
            </w:pPr>
            <w:r>
              <w:t>20.56</w:t>
            </w:r>
          </w:p>
          <w:p w14:paraId="498E69EA" w14:textId="0B548545" w:rsidR="00E63E39" w:rsidRDefault="00E63E39" w:rsidP="00E63E39">
            <w:pPr>
              <w:jc w:val="right"/>
            </w:pPr>
            <w:r>
              <w:t>59.17</w:t>
            </w:r>
          </w:p>
        </w:tc>
        <w:tc>
          <w:tcPr>
            <w:tcW w:w="1870" w:type="dxa"/>
          </w:tcPr>
          <w:p w14:paraId="2F976EEF" w14:textId="77777777" w:rsidR="00E63E39" w:rsidRDefault="00E63E39" w:rsidP="00E63E39">
            <w:pPr>
              <w:jc w:val="right"/>
            </w:pPr>
            <w:r>
              <w:t>10.17</w:t>
            </w:r>
          </w:p>
          <w:p w14:paraId="6CE71C92" w14:textId="77777777" w:rsidR="00E63E39" w:rsidRDefault="00E63E39" w:rsidP="00E63E39">
            <w:pPr>
              <w:jc w:val="right"/>
            </w:pPr>
            <w:r>
              <w:t>13.18</w:t>
            </w:r>
          </w:p>
          <w:p w14:paraId="282F21F2" w14:textId="77777777" w:rsidR="00E63E39" w:rsidRDefault="00E63E39" w:rsidP="00E63E39">
            <w:pPr>
              <w:jc w:val="right"/>
            </w:pPr>
            <w:r>
              <w:t>18.74</w:t>
            </w:r>
          </w:p>
          <w:p w14:paraId="3BF283B4" w14:textId="77777777" w:rsidR="00E63E39" w:rsidRDefault="00E63E39" w:rsidP="00E63E39">
            <w:pPr>
              <w:jc w:val="right"/>
            </w:pPr>
            <w:r>
              <w:t>20.25</w:t>
            </w:r>
          </w:p>
          <w:p w14:paraId="7781FF36" w14:textId="384D4A25" w:rsidR="00E63E39" w:rsidRDefault="00E63E39" w:rsidP="00E63E39">
            <w:pPr>
              <w:jc w:val="right"/>
            </w:pPr>
            <w:r>
              <w:t>37.66</w:t>
            </w:r>
          </w:p>
        </w:tc>
        <w:tc>
          <w:tcPr>
            <w:tcW w:w="1870" w:type="dxa"/>
          </w:tcPr>
          <w:p w14:paraId="24C23617" w14:textId="77777777" w:rsidR="00E63E39" w:rsidRDefault="00E63E39" w:rsidP="00E63E39">
            <w:pPr>
              <w:jc w:val="right"/>
            </w:pPr>
            <w:r>
              <w:t>9.1</w:t>
            </w:r>
          </w:p>
          <w:p w14:paraId="61B3E814" w14:textId="77777777" w:rsidR="00E63E39" w:rsidRDefault="00E63E39" w:rsidP="00E63E39">
            <w:pPr>
              <w:jc w:val="right"/>
            </w:pPr>
            <w:r>
              <w:t>11.2</w:t>
            </w:r>
          </w:p>
          <w:p w14:paraId="6D3DFBB3" w14:textId="77777777" w:rsidR="00E63E39" w:rsidRDefault="00E63E39" w:rsidP="00E63E39">
            <w:pPr>
              <w:jc w:val="right"/>
            </w:pPr>
            <w:r>
              <w:t>15.6</w:t>
            </w:r>
          </w:p>
          <w:p w14:paraId="2B858976" w14:textId="77777777" w:rsidR="00E63E39" w:rsidRDefault="00E63E39" w:rsidP="00E63E39">
            <w:pPr>
              <w:jc w:val="right"/>
            </w:pPr>
            <w:r>
              <w:t>26.9</w:t>
            </w:r>
          </w:p>
          <w:p w14:paraId="5128A637" w14:textId="0F2124F8" w:rsidR="00E63E39" w:rsidRDefault="00E63E39" w:rsidP="00E63E39">
            <w:pPr>
              <w:jc w:val="right"/>
            </w:pPr>
            <w:r>
              <w:t>27.2</w:t>
            </w:r>
          </w:p>
        </w:tc>
        <w:tc>
          <w:tcPr>
            <w:tcW w:w="1870" w:type="dxa"/>
          </w:tcPr>
          <w:p w14:paraId="19480CF6" w14:textId="77777777" w:rsidR="00E63E39" w:rsidRDefault="00E63E39" w:rsidP="00E63E39">
            <w:pPr>
              <w:jc w:val="right"/>
            </w:pPr>
            <w:r>
              <w:t>8.7</w:t>
            </w:r>
          </w:p>
          <w:p w14:paraId="585A70DA" w14:textId="77777777" w:rsidR="00E63E39" w:rsidRDefault="00E63E39" w:rsidP="00E63E39">
            <w:pPr>
              <w:jc w:val="right"/>
            </w:pPr>
            <w:r>
              <w:t>10.1</w:t>
            </w:r>
          </w:p>
          <w:p w14:paraId="71E49678" w14:textId="77777777" w:rsidR="00E63E39" w:rsidRDefault="00E63E39" w:rsidP="00E63E39">
            <w:pPr>
              <w:jc w:val="right"/>
            </w:pPr>
            <w:r>
              <w:t>14.7</w:t>
            </w:r>
          </w:p>
          <w:p w14:paraId="28CC4E83" w14:textId="77777777" w:rsidR="00E63E39" w:rsidRDefault="00E63E39" w:rsidP="00E63E39">
            <w:pPr>
              <w:jc w:val="right"/>
            </w:pPr>
            <w:r>
              <w:t>20.0</w:t>
            </w:r>
          </w:p>
          <w:p w14:paraId="1F7D5F87" w14:textId="55BB76B2" w:rsidR="00E63E39" w:rsidRDefault="00E63E39" w:rsidP="00E63E39">
            <w:pPr>
              <w:jc w:val="right"/>
            </w:pPr>
            <w:r>
              <w:t>46.5</w:t>
            </w:r>
          </w:p>
        </w:tc>
      </w:tr>
      <w:tr w:rsidR="00E63E39" w14:paraId="0B8657D6" w14:textId="77777777" w:rsidTr="00E63E39">
        <w:trPr>
          <w:trHeight w:val="251"/>
        </w:trPr>
        <w:tc>
          <w:tcPr>
            <w:tcW w:w="1975" w:type="dxa"/>
          </w:tcPr>
          <w:p w14:paraId="0608C9F2" w14:textId="40ECC12B" w:rsidR="00E63E39" w:rsidRDefault="00E63E39" w:rsidP="00AE3DBB">
            <w:r>
              <w:t>Total</w:t>
            </w:r>
          </w:p>
        </w:tc>
        <w:tc>
          <w:tcPr>
            <w:tcW w:w="1765" w:type="dxa"/>
          </w:tcPr>
          <w:p w14:paraId="1A37F7AC" w14:textId="64085AFC" w:rsidR="00E63E39" w:rsidRDefault="00E63E39" w:rsidP="00E63E39">
            <w:pPr>
              <w:jc w:val="right"/>
            </w:pPr>
            <w:r>
              <w:t>100.00</w:t>
            </w:r>
          </w:p>
        </w:tc>
        <w:tc>
          <w:tcPr>
            <w:tcW w:w="1870" w:type="dxa"/>
          </w:tcPr>
          <w:p w14:paraId="70254225" w14:textId="08223E71" w:rsidR="00E63E39" w:rsidRDefault="00E63E39" w:rsidP="00E63E39">
            <w:pPr>
              <w:jc w:val="right"/>
            </w:pPr>
            <w:r>
              <w:t>100.00</w:t>
            </w:r>
          </w:p>
        </w:tc>
        <w:tc>
          <w:tcPr>
            <w:tcW w:w="1870" w:type="dxa"/>
          </w:tcPr>
          <w:p w14:paraId="60677C47" w14:textId="0593FC70" w:rsidR="00E63E39" w:rsidRDefault="00E63E39" w:rsidP="00E63E39">
            <w:pPr>
              <w:jc w:val="right"/>
            </w:pPr>
            <w:r>
              <w:t>100.0</w:t>
            </w:r>
          </w:p>
        </w:tc>
        <w:tc>
          <w:tcPr>
            <w:tcW w:w="1870" w:type="dxa"/>
          </w:tcPr>
          <w:p w14:paraId="7D178CED" w14:textId="13C56FF8" w:rsidR="00E63E39" w:rsidRDefault="00E63E39" w:rsidP="00E63E39">
            <w:pPr>
              <w:jc w:val="right"/>
            </w:pPr>
            <w:r>
              <w:t>100.0</w:t>
            </w:r>
          </w:p>
        </w:tc>
      </w:tr>
    </w:tbl>
    <w:p w14:paraId="09CF5421" w14:textId="77777777" w:rsidR="00E63E39" w:rsidRDefault="00E63E39" w:rsidP="00AE3DBB"/>
    <w:p w14:paraId="693207DA" w14:textId="49647CE4" w:rsidR="00267F72" w:rsidRDefault="00267F72" w:rsidP="00AE3DBB"/>
    <w:p w14:paraId="7EFB6197" w14:textId="399E3B68" w:rsidR="00267F72" w:rsidRDefault="00267F72" w:rsidP="00AE3DBB"/>
    <w:p w14:paraId="7A0A19D4" w14:textId="70506BA4" w:rsidR="00B55EAB" w:rsidRDefault="00B848AE" w:rsidP="00AE3DBB">
      <w:r>
        <w:t>Table 3: The distributional effect of tax by income class (million baht)</w:t>
      </w:r>
    </w:p>
    <w:tbl>
      <w:tblPr>
        <w:tblStyle w:val="TableGrid"/>
        <w:tblW w:w="0" w:type="auto"/>
        <w:tblLook w:val="04A0" w:firstRow="1" w:lastRow="0" w:firstColumn="1" w:lastColumn="0" w:noHBand="0" w:noVBand="1"/>
      </w:tblPr>
      <w:tblGrid>
        <w:gridCol w:w="2542"/>
        <w:gridCol w:w="1012"/>
        <w:gridCol w:w="1187"/>
        <w:gridCol w:w="1101"/>
        <w:gridCol w:w="1169"/>
        <w:gridCol w:w="1161"/>
        <w:gridCol w:w="1178"/>
      </w:tblGrid>
      <w:tr w:rsidR="00B848AE" w14:paraId="14A6E5DE" w14:textId="77777777" w:rsidTr="00A44EA4">
        <w:tc>
          <w:tcPr>
            <w:tcW w:w="2542" w:type="dxa"/>
            <w:vMerge w:val="restart"/>
            <w:shd w:val="pct5" w:color="auto" w:fill="auto"/>
          </w:tcPr>
          <w:p w14:paraId="5D244ABA" w14:textId="3F43B357" w:rsidR="00103E48" w:rsidRDefault="00B848AE" w:rsidP="00A44EA4">
            <w:pPr>
              <w:jc w:val="center"/>
            </w:pPr>
            <w:r>
              <w:t>Type of tax</w:t>
            </w:r>
          </w:p>
        </w:tc>
        <w:tc>
          <w:tcPr>
            <w:tcW w:w="1012" w:type="dxa"/>
            <w:vMerge w:val="restart"/>
            <w:shd w:val="pct5" w:color="auto" w:fill="auto"/>
          </w:tcPr>
          <w:p w14:paraId="5453ACB8" w14:textId="43C354E4" w:rsidR="00103E48" w:rsidRPr="00A44EA4" w:rsidRDefault="00B848AE" w:rsidP="00A44EA4">
            <w:pPr>
              <w:jc w:val="center"/>
              <w:rPr>
                <w:sz w:val="22"/>
                <w:szCs w:val="22"/>
              </w:rPr>
            </w:pPr>
            <w:r w:rsidRPr="00A44EA4">
              <w:rPr>
                <w:sz w:val="22"/>
                <w:szCs w:val="22"/>
              </w:rPr>
              <w:t>Total amount (Year 2010)</w:t>
            </w:r>
          </w:p>
        </w:tc>
        <w:tc>
          <w:tcPr>
            <w:tcW w:w="5796" w:type="dxa"/>
            <w:gridSpan w:val="5"/>
            <w:shd w:val="pct5" w:color="auto" w:fill="auto"/>
          </w:tcPr>
          <w:p w14:paraId="69A9080E" w14:textId="7DD3DC9C" w:rsidR="00103E48" w:rsidRDefault="00B848AE" w:rsidP="00A44EA4">
            <w:pPr>
              <w:jc w:val="center"/>
            </w:pPr>
            <w:r>
              <w:t>Income class</w:t>
            </w:r>
          </w:p>
        </w:tc>
      </w:tr>
      <w:tr w:rsidR="00B848AE" w14:paraId="681279F5" w14:textId="77777777" w:rsidTr="00A44EA4">
        <w:tc>
          <w:tcPr>
            <w:tcW w:w="2542" w:type="dxa"/>
            <w:vMerge/>
            <w:shd w:val="pct5" w:color="auto" w:fill="auto"/>
          </w:tcPr>
          <w:p w14:paraId="61CD34E3" w14:textId="77777777" w:rsidR="00103E48" w:rsidRDefault="00103E48" w:rsidP="00A44EA4">
            <w:pPr>
              <w:jc w:val="center"/>
            </w:pPr>
          </w:p>
        </w:tc>
        <w:tc>
          <w:tcPr>
            <w:tcW w:w="1012" w:type="dxa"/>
            <w:vMerge/>
            <w:shd w:val="pct5" w:color="auto" w:fill="auto"/>
          </w:tcPr>
          <w:p w14:paraId="1872CDFF" w14:textId="77777777" w:rsidR="00103E48" w:rsidRDefault="00103E48" w:rsidP="00A44EA4">
            <w:pPr>
              <w:jc w:val="center"/>
            </w:pPr>
          </w:p>
        </w:tc>
        <w:tc>
          <w:tcPr>
            <w:tcW w:w="1187" w:type="dxa"/>
            <w:shd w:val="pct5" w:color="auto" w:fill="auto"/>
          </w:tcPr>
          <w:p w14:paraId="379C915C" w14:textId="77777777" w:rsidR="00103E48" w:rsidRDefault="00B848AE" w:rsidP="00A44EA4">
            <w:pPr>
              <w:jc w:val="center"/>
            </w:pPr>
            <w:r>
              <w:t>Lowest</w:t>
            </w:r>
          </w:p>
          <w:p w14:paraId="075567D6" w14:textId="571F1574" w:rsidR="00B848AE" w:rsidRDefault="00B848AE" w:rsidP="00A44EA4">
            <w:pPr>
              <w:jc w:val="center"/>
            </w:pPr>
            <w:r>
              <w:t>income</w:t>
            </w:r>
          </w:p>
        </w:tc>
        <w:tc>
          <w:tcPr>
            <w:tcW w:w="1101" w:type="dxa"/>
            <w:shd w:val="pct5" w:color="auto" w:fill="auto"/>
          </w:tcPr>
          <w:p w14:paraId="5E86D676" w14:textId="77777777" w:rsidR="00103E48" w:rsidRDefault="00B848AE" w:rsidP="00A44EA4">
            <w:pPr>
              <w:jc w:val="center"/>
            </w:pPr>
            <w:r>
              <w:t>Low</w:t>
            </w:r>
          </w:p>
          <w:p w14:paraId="727D390F" w14:textId="6B346075" w:rsidR="00B848AE" w:rsidRDefault="00B848AE" w:rsidP="00A44EA4">
            <w:pPr>
              <w:jc w:val="center"/>
            </w:pPr>
            <w:r>
              <w:t>income</w:t>
            </w:r>
          </w:p>
        </w:tc>
        <w:tc>
          <w:tcPr>
            <w:tcW w:w="1169" w:type="dxa"/>
            <w:shd w:val="pct5" w:color="auto" w:fill="auto"/>
          </w:tcPr>
          <w:p w14:paraId="4902D6C1" w14:textId="6DC349C3" w:rsidR="00103E48" w:rsidRDefault="00B848AE" w:rsidP="00A44EA4">
            <w:pPr>
              <w:jc w:val="center"/>
            </w:pPr>
            <w:r>
              <w:t>Middle income</w:t>
            </w:r>
          </w:p>
        </w:tc>
        <w:tc>
          <w:tcPr>
            <w:tcW w:w="1161" w:type="dxa"/>
            <w:shd w:val="pct5" w:color="auto" w:fill="auto"/>
          </w:tcPr>
          <w:p w14:paraId="0CF58FF2" w14:textId="77F1BD5D" w:rsidR="00103E48" w:rsidRDefault="00B848AE" w:rsidP="00A44EA4">
            <w:pPr>
              <w:jc w:val="center"/>
            </w:pPr>
            <w:r>
              <w:t>High income</w:t>
            </w:r>
          </w:p>
        </w:tc>
        <w:tc>
          <w:tcPr>
            <w:tcW w:w="1178" w:type="dxa"/>
            <w:shd w:val="pct5" w:color="auto" w:fill="auto"/>
          </w:tcPr>
          <w:p w14:paraId="439FE49F" w14:textId="0FFA9EFC" w:rsidR="00103E48" w:rsidRDefault="00B848AE" w:rsidP="00A44EA4">
            <w:pPr>
              <w:jc w:val="center"/>
            </w:pPr>
            <w:r>
              <w:t>Highest income</w:t>
            </w:r>
          </w:p>
        </w:tc>
      </w:tr>
      <w:tr w:rsidR="00B848AE" w14:paraId="0BD055A4" w14:textId="77777777" w:rsidTr="00A44EA4">
        <w:tc>
          <w:tcPr>
            <w:tcW w:w="2542" w:type="dxa"/>
          </w:tcPr>
          <w:p w14:paraId="104402FC" w14:textId="15A6C215" w:rsidR="00103E48" w:rsidRPr="00B848AE" w:rsidRDefault="00B848AE" w:rsidP="00AE3DBB">
            <w:pPr>
              <w:rPr>
                <w:sz w:val="21"/>
                <w:szCs w:val="21"/>
              </w:rPr>
            </w:pPr>
            <w:r w:rsidRPr="00B848AE">
              <w:rPr>
                <w:sz w:val="21"/>
                <w:szCs w:val="21"/>
              </w:rPr>
              <w:t>1. Personal Income Tax</w:t>
            </w:r>
          </w:p>
          <w:p w14:paraId="01634F07" w14:textId="77777777" w:rsidR="00B848AE" w:rsidRPr="00B848AE" w:rsidRDefault="00B848AE" w:rsidP="00AE3DBB">
            <w:pPr>
              <w:rPr>
                <w:sz w:val="21"/>
                <w:szCs w:val="21"/>
              </w:rPr>
            </w:pPr>
            <w:r w:rsidRPr="00B848AE">
              <w:rPr>
                <w:sz w:val="21"/>
                <w:szCs w:val="21"/>
              </w:rPr>
              <w:t>2. Corporate Income Tax</w:t>
            </w:r>
          </w:p>
          <w:p w14:paraId="522EC01E" w14:textId="77777777" w:rsidR="00B848AE" w:rsidRPr="00B848AE" w:rsidRDefault="00B848AE" w:rsidP="00AE3DBB">
            <w:pPr>
              <w:rPr>
                <w:sz w:val="21"/>
                <w:szCs w:val="21"/>
              </w:rPr>
            </w:pPr>
            <w:r w:rsidRPr="00B848AE">
              <w:rPr>
                <w:sz w:val="21"/>
                <w:szCs w:val="21"/>
              </w:rPr>
              <w:t>3. VAT</w:t>
            </w:r>
          </w:p>
          <w:p w14:paraId="716DA02D" w14:textId="77777777" w:rsidR="00B848AE" w:rsidRPr="00B848AE" w:rsidRDefault="00B848AE" w:rsidP="00AE3DBB">
            <w:pPr>
              <w:rPr>
                <w:sz w:val="21"/>
                <w:szCs w:val="21"/>
              </w:rPr>
            </w:pPr>
            <w:r w:rsidRPr="00B848AE">
              <w:rPr>
                <w:sz w:val="21"/>
                <w:szCs w:val="21"/>
              </w:rPr>
              <w:t>4. Excise Tax</w:t>
            </w:r>
          </w:p>
          <w:p w14:paraId="27DD8FCF" w14:textId="33841932" w:rsidR="00B848AE" w:rsidRDefault="00B848AE" w:rsidP="00AE3DBB">
            <w:r w:rsidRPr="00B848AE">
              <w:rPr>
                <w:sz w:val="21"/>
                <w:szCs w:val="21"/>
              </w:rPr>
              <w:t>5. Import Tax</w:t>
            </w:r>
          </w:p>
        </w:tc>
        <w:tc>
          <w:tcPr>
            <w:tcW w:w="1012" w:type="dxa"/>
          </w:tcPr>
          <w:p w14:paraId="690408C2" w14:textId="77777777" w:rsidR="00103E48" w:rsidRPr="00B848AE" w:rsidRDefault="00B848AE" w:rsidP="00B848AE">
            <w:pPr>
              <w:jc w:val="right"/>
              <w:rPr>
                <w:sz w:val="21"/>
                <w:szCs w:val="21"/>
              </w:rPr>
            </w:pPr>
            <w:r w:rsidRPr="00B848AE">
              <w:rPr>
                <w:sz w:val="21"/>
                <w:szCs w:val="21"/>
              </w:rPr>
              <w:t>153,920</w:t>
            </w:r>
          </w:p>
          <w:p w14:paraId="1B1FDA10" w14:textId="77777777" w:rsidR="00B848AE" w:rsidRPr="00B848AE" w:rsidRDefault="00B848AE" w:rsidP="00B848AE">
            <w:pPr>
              <w:jc w:val="right"/>
              <w:rPr>
                <w:sz w:val="21"/>
                <w:szCs w:val="21"/>
              </w:rPr>
            </w:pPr>
            <w:r w:rsidRPr="00B848AE">
              <w:rPr>
                <w:sz w:val="21"/>
                <w:szCs w:val="21"/>
              </w:rPr>
              <w:t>288,500</w:t>
            </w:r>
          </w:p>
          <w:p w14:paraId="0C88B98B" w14:textId="77777777" w:rsidR="00B848AE" w:rsidRPr="00B848AE" w:rsidRDefault="00B848AE" w:rsidP="00B848AE">
            <w:pPr>
              <w:jc w:val="right"/>
              <w:rPr>
                <w:sz w:val="21"/>
                <w:szCs w:val="21"/>
              </w:rPr>
            </w:pPr>
            <w:r w:rsidRPr="00B848AE">
              <w:rPr>
                <w:sz w:val="21"/>
                <w:szCs w:val="21"/>
              </w:rPr>
              <w:t>376,400</w:t>
            </w:r>
          </w:p>
          <w:p w14:paraId="3EC8B498" w14:textId="7033C5A8" w:rsidR="00B848AE" w:rsidRPr="00B848AE" w:rsidRDefault="00B848AE" w:rsidP="00B848AE">
            <w:pPr>
              <w:tabs>
                <w:tab w:val="center" w:pos="390"/>
                <w:tab w:val="right" w:pos="780"/>
              </w:tabs>
              <w:jc w:val="center"/>
              <w:rPr>
                <w:sz w:val="21"/>
                <w:szCs w:val="21"/>
              </w:rPr>
            </w:pPr>
            <w:r w:rsidRPr="00B848AE">
              <w:rPr>
                <w:sz w:val="21"/>
                <w:szCs w:val="21"/>
              </w:rPr>
              <w:t>-</w:t>
            </w:r>
          </w:p>
          <w:p w14:paraId="79E2CFF0" w14:textId="0770CA54" w:rsidR="00B848AE" w:rsidRPr="00B848AE" w:rsidRDefault="00B848AE" w:rsidP="00B848AE">
            <w:pPr>
              <w:jc w:val="center"/>
              <w:rPr>
                <w:sz w:val="21"/>
                <w:szCs w:val="21"/>
              </w:rPr>
            </w:pPr>
            <w:r w:rsidRPr="00B848AE">
              <w:rPr>
                <w:sz w:val="21"/>
                <w:szCs w:val="21"/>
              </w:rPr>
              <w:t>-</w:t>
            </w:r>
          </w:p>
        </w:tc>
        <w:tc>
          <w:tcPr>
            <w:tcW w:w="1187" w:type="dxa"/>
          </w:tcPr>
          <w:p w14:paraId="0D32AC7B" w14:textId="77777777" w:rsidR="00103E48" w:rsidRPr="00B848AE" w:rsidRDefault="00B848AE" w:rsidP="00B848AE">
            <w:pPr>
              <w:jc w:val="right"/>
              <w:rPr>
                <w:sz w:val="21"/>
                <w:szCs w:val="21"/>
              </w:rPr>
            </w:pPr>
            <w:r w:rsidRPr="00B848AE">
              <w:rPr>
                <w:sz w:val="21"/>
                <w:szCs w:val="21"/>
              </w:rPr>
              <w:t>2,878.30</w:t>
            </w:r>
          </w:p>
          <w:p w14:paraId="272466A6" w14:textId="77777777" w:rsidR="00B848AE" w:rsidRPr="00B848AE" w:rsidRDefault="00B848AE" w:rsidP="00B848AE">
            <w:pPr>
              <w:jc w:val="right"/>
              <w:rPr>
                <w:sz w:val="21"/>
                <w:szCs w:val="21"/>
              </w:rPr>
            </w:pPr>
            <w:r w:rsidRPr="00B848AE">
              <w:rPr>
                <w:sz w:val="21"/>
                <w:szCs w:val="21"/>
              </w:rPr>
              <w:t>29,340.45</w:t>
            </w:r>
          </w:p>
          <w:p w14:paraId="7AB39DB7" w14:textId="77777777" w:rsidR="00B848AE" w:rsidRPr="00B848AE" w:rsidRDefault="00B848AE" w:rsidP="00B848AE">
            <w:pPr>
              <w:jc w:val="right"/>
              <w:rPr>
                <w:sz w:val="21"/>
                <w:szCs w:val="21"/>
              </w:rPr>
            </w:pPr>
            <w:r w:rsidRPr="00B848AE">
              <w:rPr>
                <w:sz w:val="21"/>
                <w:szCs w:val="21"/>
              </w:rPr>
              <w:t>38,279.88</w:t>
            </w:r>
          </w:p>
          <w:p w14:paraId="0B3E29D0" w14:textId="77777777" w:rsidR="00B848AE" w:rsidRPr="00B848AE" w:rsidRDefault="00B848AE" w:rsidP="00A44EA4">
            <w:pPr>
              <w:jc w:val="center"/>
              <w:rPr>
                <w:sz w:val="21"/>
                <w:szCs w:val="21"/>
              </w:rPr>
            </w:pPr>
            <w:r w:rsidRPr="00B848AE">
              <w:rPr>
                <w:sz w:val="21"/>
                <w:szCs w:val="21"/>
              </w:rPr>
              <w:t>-</w:t>
            </w:r>
          </w:p>
          <w:p w14:paraId="0D501EEE" w14:textId="4A3A3BAE" w:rsidR="00B848AE" w:rsidRPr="00B848AE" w:rsidRDefault="00B848AE" w:rsidP="00A44EA4">
            <w:pPr>
              <w:jc w:val="center"/>
              <w:rPr>
                <w:sz w:val="21"/>
                <w:szCs w:val="21"/>
              </w:rPr>
            </w:pPr>
            <w:r w:rsidRPr="00B848AE">
              <w:rPr>
                <w:sz w:val="21"/>
                <w:szCs w:val="21"/>
              </w:rPr>
              <w:t>-</w:t>
            </w:r>
          </w:p>
        </w:tc>
        <w:tc>
          <w:tcPr>
            <w:tcW w:w="1101" w:type="dxa"/>
          </w:tcPr>
          <w:p w14:paraId="07358C97" w14:textId="77777777" w:rsidR="00103E48" w:rsidRPr="00B848AE" w:rsidRDefault="00B848AE" w:rsidP="00B848AE">
            <w:pPr>
              <w:jc w:val="right"/>
              <w:rPr>
                <w:sz w:val="21"/>
                <w:szCs w:val="21"/>
              </w:rPr>
            </w:pPr>
            <w:r w:rsidRPr="00B848AE">
              <w:rPr>
                <w:sz w:val="21"/>
                <w:szCs w:val="21"/>
              </w:rPr>
              <w:t>3,201.54</w:t>
            </w:r>
          </w:p>
          <w:p w14:paraId="5D23E3A6" w14:textId="77777777" w:rsidR="00B848AE" w:rsidRPr="00B848AE" w:rsidRDefault="00B848AE" w:rsidP="00B848AE">
            <w:pPr>
              <w:jc w:val="right"/>
              <w:rPr>
                <w:sz w:val="21"/>
                <w:szCs w:val="21"/>
              </w:rPr>
            </w:pPr>
            <w:r w:rsidRPr="00B848AE">
              <w:rPr>
                <w:sz w:val="21"/>
                <w:szCs w:val="21"/>
              </w:rPr>
              <w:t>29,340.45</w:t>
            </w:r>
          </w:p>
          <w:p w14:paraId="11DBBF70" w14:textId="77777777" w:rsidR="00B848AE" w:rsidRPr="00B848AE" w:rsidRDefault="00B848AE" w:rsidP="00B848AE">
            <w:pPr>
              <w:jc w:val="right"/>
              <w:rPr>
                <w:sz w:val="21"/>
                <w:szCs w:val="21"/>
              </w:rPr>
            </w:pPr>
            <w:r w:rsidRPr="00B848AE">
              <w:rPr>
                <w:sz w:val="21"/>
                <w:szCs w:val="21"/>
              </w:rPr>
              <w:t>38,279.88</w:t>
            </w:r>
          </w:p>
          <w:p w14:paraId="1AD67C3D" w14:textId="77777777" w:rsidR="00B848AE" w:rsidRPr="00B848AE" w:rsidRDefault="00B848AE" w:rsidP="00A44EA4">
            <w:pPr>
              <w:jc w:val="center"/>
              <w:rPr>
                <w:sz w:val="21"/>
                <w:szCs w:val="21"/>
              </w:rPr>
            </w:pPr>
            <w:r w:rsidRPr="00B848AE">
              <w:rPr>
                <w:sz w:val="21"/>
                <w:szCs w:val="21"/>
              </w:rPr>
              <w:t>-</w:t>
            </w:r>
          </w:p>
          <w:p w14:paraId="55BF43F0" w14:textId="21E5DF63" w:rsidR="00B848AE" w:rsidRPr="00B848AE" w:rsidRDefault="00B848AE" w:rsidP="00A44EA4">
            <w:pPr>
              <w:jc w:val="center"/>
              <w:rPr>
                <w:sz w:val="21"/>
                <w:szCs w:val="21"/>
              </w:rPr>
            </w:pPr>
            <w:r w:rsidRPr="00B848AE">
              <w:rPr>
                <w:sz w:val="21"/>
                <w:szCs w:val="21"/>
              </w:rPr>
              <w:t>-</w:t>
            </w:r>
          </w:p>
        </w:tc>
        <w:tc>
          <w:tcPr>
            <w:tcW w:w="1169" w:type="dxa"/>
          </w:tcPr>
          <w:p w14:paraId="40488911" w14:textId="77777777" w:rsidR="00103E48" w:rsidRPr="00B848AE" w:rsidRDefault="00B848AE" w:rsidP="00B848AE">
            <w:pPr>
              <w:jc w:val="right"/>
              <w:rPr>
                <w:sz w:val="21"/>
                <w:szCs w:val="21"/>
              </w:rPr>
            </w:pPr>
            <w:r w:rsidRPr="00B848AE">
              <w:rPr>
                <w:sz w:val="21"/>
                <w:szCs w:val="21"/>
              </w:rPr>
              <w:t>25,119.74</w:t>
            </w:r>
          </w:p>
          <w:p w14:paraId="73EDE0A0" w14:textId="77777777" w:rsidR="00B848AE" w:rsidRPr="00B848AE" w:rsidRDefault="00B848AE" w:rsidP="00B848AE">
            <w:pPr>
              <w:jc w:val="right"/>
              <w:rPr>
                <w:sz w:val="21"/>
                <w:szCs w:val="21"/>
              </w:rPr>
            </w:pPr>
            <w:r w:rsidRPr="00B848AE">
              <w:rPr>
                <w:sz w:val="21"/>
                <w:szCs w:val="21"/>
              </w:rPr>
              <w:t>54,064.90</w:t>
            </w:r>
          </w:p>
          <w:p w14:paraId="36F1AF79" w14:textId="77777777" w:rsidR="00B848AE" w:rsidRPr="00B848AE" w:rsidRDefault="00B848AE" w:rsidP="00B848AE">
            <w:pPr>
              <w:jc w:val="right"/>
              <w:rPr>
                <w:sz w:val="21"/>
                <w:szCs w:val="21"/>
              </w:rPr>
            </w:pPr>
            <w:r w:rsidRPr="00B848AE">
              <w:rPr>
                <w:sz w:val="21"/>
                <w:szCs w:val="21"/>
              </w:rPr>
              <w:t>70,537.36</w:t>
            </w:r>
          </w:p>
          <w:p w14:paraId="306AA7E1" w14:textId="77777777" w:rsidR="00B848AE" w:rsidRPr="00B848AE" w:rsidRDefault="00B848AE" w:rsidP="00A44EA4">
            <w:pPr>
              <w:jc w:val="center"/>
              <w:rPr>
                <w:sz w:val="21"/>
                <w:szCs w:val="21"/>
              </w:rPr>
            </w:pPr>
            <w:r w:rsidRPr="00B848AE">
              <w:rPr>
                <w:sz w:val="21"/>
                <w:szCs w:val="21"/>
              </w:rPr>
              <w:t>-</w:t>
            </w:r>
          </w:p>
          <w:p w14:paraId="259E1FDC" w14:textId="3CE11F5B" w:rsidR="00B848AE" w:rsidRPr="00B848AE" w:rsidRDefault="00B848AE" w:rsidP="00A44EA4">
            <w:pPr>
              <w:jc w:val="center"/>
              <w:rPr>
                <w:sz w:val="21"/>
                <w:szCs w:val="21"/>
              </w:rPr>
            </w:pPr>
            <w:r w:rsidRPr="00B848AE">
              <w:rPr>
                <w:sz w:val="21"/>
                <w:szCs w:val="21"/>
              </w:rPr>
              <w:t>-</w:t>
            </w:r>
          </w:p>
        </w:tc>
        <w:tc>
          <w:tcPr>
            <w:tcW w:w="1161" w:type="dxa"/>
          </w:tcPr>
          <w:p w14:paraId="0128CB45" w14:textId="77777777" w:rsidR="00103E48" w:rsidRPr="00B848AE" w:rsidRDefault="00B848AE" w:rsidP="00B848AE">
            <w:pPr>
              <w:jc w:val="right"/>
              <w:rPr>
                <w:sz w:val="21"/>
                <w:szCs w:val="21"/>
              </w:rPr>
            </w:pPr>
            <w:r w:rsidRPr="00B848AE">
              <w:rPr>
                <w:sz w:val="21"/>
                <w:szCs w:val="21"/>
              </w:rPr>
              <w:t>31,645.95</w:t>
            </w:r>
          </w:p>
          <w:p w14:paraId="588F7A6E" w14:textId="77777777" w:rsidR="00B848AE" w:rsidRDefault="00B848AE" w:rsidP="00B848AE">
            <w:pPr>
              <w:jc w:val="right"/>
              <w:rPr>
                <w:sz w:val="21"/>
                <w:szCs w:val="21"/>
              </w:rPr>
            </w:pPr>
            <w:r>
              <w:rPr>
                <w:sz w:val="21"/>
                <w:szCs w:val="21"/>
              </w:rPr>
              <w:t>58,431.25</w:t>
            </w:r>
          </w:p>
          <w:p w14:paraId="4AF50793" w14:textId="77777777" w:rsidR="00B848AE" w:rsidRDefault="00B848AE" w:rsidP="00B848AE">
            <w:pPr>
              <w:jc w:val="right"/>
              <w:rPr>
                <w:sz w:val="21"/>
                <w:szCs w:val="21"/>
              </w:rPr>
            </w:pPr>
            <w:r>
              <w:rPr>
                <w:sz w:val="21"/>
                <w:szCs w:val="21"/>
              </w:rPr>
              <w:t>76,537.36</w:t>
            </w:r>
          </w:p>
          <w:p w14:paraId="1E1713CD" w14:textId="77777777" w:rsidR="00B848AE" w:rsidRDefault="00B848AE" w:rsidP="00A44EA4">
            <w:pPr>
              <w:jc w:val="center"/>
              <w:rPr>
                <w:sz w:val="21"/>
                <w:szCs w:val="21"/>
              </w:rPr>
            </w:pPr>
            <w:r>
              <w:rPr>
                <w:sz w:val="21"/>
                <w:szCs w:val="21"/>
              </w:rPr>
              <w:t>-</w:t>
            </w:r>
          </w:p>
          <w:p w14:paraId="3E391450" w14:textId="43EC6FB5" w:rsidR="00B848AE" w:rsidRPr="00B848AE" w:rsidRDefault="00B848AE" w:rsidP="00A44EA4">
            <w:pPr>
              <w:jc w:val="center"/>
              <w:rPr>
                <w:sz w:val="21"/>
                <w:szCs w:val="21"/>
              </w:rPr>
            </w:pPr>
            <w:r>
              <w:rPr>
                <w:sz w:val="21"/>
                <w:szCs w:val="21"/>
              </w:rPr>
              <w:t>-</w:t>
            </w:r>
          </w:p>
        </w:tc>
        <w:tc>
          <w:tcPr>
            <w:tcW w:w="1178" w:type="dxa"/>
          </w:tcPr>
          <w:p w14:paraId="186C54F7" w14:textId="77777777" w:rsidR="00103E48" w:rsidRDefault="00B848AE" w:rsidP="00B848AE">
            <w:pPr>
              <w:jc w:val="right"/>
              <w:rPr>
                <w:sz w:val="21"/>
                <w:szCs w:val="21"/>
              </w:rPr>
            </w:pPr>
            <w:r>
              <w:rPr>
                <w:sz w:val="21"/>
                <w:szCs w:val="21"/>
              </w:rPr>
              <w:t>91,074.46</w:t>
            </w:r>
          </w:p>
          <w:p w14:paraId="33FDC849" w14:textId="77777777" w:rsidR="00B848AE" w:rsidRDefault="00B848AE" w:rsidP="00B848AE">
            <w:pPr>
              <w:jc w:val="right"/>
              <w:rPr>
                <w:sz w:val="21"/>
                <w:szCs w:val="21"/>
              </w:rPr>
            </w:pPr>
            <w:r>
              <w:rPr>
                <w:sz w:val="21"/>
                <w:szCs w:val="21"/>
              </w:rPr>
              <w:t>108,649.10</w:t>
            </w:r>
          </w:p>
          <w:p w14:paraId="5E2FACED" w14:textId="77777777" w:rsidR="00B848AE" w:rsidRDefault="00B848AE" w:rsidP="00B848AE">
            <w:pPr>
              <w:jc w:val="right"/>
              <w:rPr>
                <w:sz w:val="21"/>
                <w:szCs w:val="21"/>
              </w:rPr>
            </w:pPr>
            <w:r>
              <w:rPr>
                <w:sz w:val="21"/>
                <w:szCs w:val="21"/>
              </w:rPr>
              <w:t>141,752.24</w:t>
            </w:r>
          </w:p>
          <w:p w14:paraId="2367D8F2" w14:textId="77777777" w:rsidR="00B848AE" w:rsidRDefault="00B848AE" w:rsidP="00A44EA4">
            <w:pPr>
              <w:jc w:val="center"/>
              <w:rPr>
                <w:sz w:val="21"/>
                <w:szCs w:val="21"/>
              </w:rPr>
            </w:pPr>
            <w:r>
              <w:rPr>
                <w:sz w:val="21"/>
                <w:szCs w:val="21"/>
              </w:rPr>
              <w:t>-</w:t>
            </w:r>
          </w:p>
          <w:p w14:paraId="2ECD0F4A" w14:textId="64C5E4FE" w:rsidR="00B848AE" w:rsidRPr="00B848AE" w:rsidRDefault="00B848AE" w:rsidP="00A44EA4">
            <w:pPr>
              <w:jc w:val="center"/>
              <w:rPr>
                <w:sz w:val="21"/>
                <w:szCs w:val="21"/>
              </w:rPr>
            </w:pPr>
            <w:r>
              <w:rPr>
                <w:sz w:val="21"/>
                <w:szCs w:val="21"/>
              </w:rPr>
              <w:t>-</w:t>
            </w:r>
          </w:p>
        </w:tc>
      </w:tr>
      <w:tr w:rsidR="00B848AE" w14:paraId="3AE58582" w14:textId="77777777" w:rsidTr="00057E55">
        <w:trPr>
          <w:trHeight w:val="233"/>
        </w:trPr>
        <w:tc>
          <w:tcPr>
            <w:tcW w:w="2542" w:type="dxa"/>
          </w:tcPr>
          <w:p w14:paraId="52721A31" w14:textId="61FA9228" w:rsidR="00103E48" w:rsidRPr="00B848AE" w:rsidRDefault="00B848AE" w:rsidP="00AE3DBB">
            <w:pPr>
              <w:rPr>
                <w:sz w:val="21"/>
                <w:szCs w:val="21"/>
              </w:rPr>
            </w:pPr>
            <w:r w:rsidRPr="00B848AE">
              <w:rPr>
                <w:sz w:val="21"/>
                <w:szCs w:val="21"/>
              </w:rPr>
              <w:t>Total</w:t>
            </w:r>
          </w:p>
        </w:tc>
        <w:tc>
          <w:tcPr>
            <w:tcW w:w="1012" w:type="dxa"/>
          </w:tcPr>
          <w:p w14:paraId="7E63AAAE" w14:textId="4F3144D7" w:rsidR="00B848AE" w:rsidRPr="00B848AE" w:rsidRDefault="00B848AE" w:rsidP="00B848AE">
            <w:pPr>
              <w:jc w:val="right"/>
              <w:rPr>
                <w:sz w:val="21"/>
                <w:szCs w:val="21"/>
              </w:rPr>
            </w:pPr>
            <w:r w:rsidRPr="00B848AE">
              <w:rPr>
                <w:sz w:val="21"/>
                <w:szCs w:val="21"/>
              </w:rPr>
              <w:t>818,820</w:t>
            </w:r>
          </w:p>
        </w:tc>
        <w:tc>
          <w:tcPr>
            <w:tcW w:w="1187" w:type="dxa"/>
          </w:tcPr>
          <w:p w14:paraId="5097D018" w14:textId="37104BB7" w:rsidR="00103E48" w:rsidRPr="00B848AE" w:rsidRDefault="00B848AE" w:rsidP="00B848AE">
            <w:pPr>
              <w:jc w:val="right"/>
              <w:rPr>
                <w:sz w:val="21"/>
                <w:szCs w:val="21"/>
              </w:rPr>
            </w:pPr>
            <w:r w:rsidRPr="00B848AE">
              <w:rPr>
                <w:sz w:val="21"/>
                <w:szCs w:val="21"/>
              </w:rPr>
              <w:t>70,498.63</w:t>
            </w:r>
          </w:p>
        </w:tc>
        <w:tc>
          <w:tcPr>
            <w:tcW w:w="1101" w:type="dxa"/>
          </w:tcPr>
          <w:p w14:paraId="6B16FE5C" w14:textId="0AB797D5" w:rsidR="00103E48" w:rsidRPr="00B848AE" w:rsidRDefault="00B848AE" w:rsidP="00B848AE">
            <w:pPr>
              <w:jc w:val="right"/>
              <w:rPr>
                <w:sz w:val="21"/>
                <w:szCs w:val="21"/>
              </w:rPr>
            </w:pPr>
            <w:r w:rsidRPr="00B848AE">
              <w:rPr>
                <w:sz w:val="21"/>
                <w:szCs w:val="21"/>
              </w:rPr>
              <w:t>90,835.36</w:t>
            </w:r>
          </w:p>
        </w:tc>
        <w:tc>
          <w:tcPr>
            <w:tcW w:w="1169" w:type="dxa"/>
          </w:tcPr>
          <w:p w14:paraId="6C2900DC" w14:textId="237CADEB" w:rsidR="00103E48" w:rsidRPr="00B848AE" w:rsidRDefault="00B848AE" w:rsidP="00B848AE">
            <w:pPr>
              <w:jc w:val="right"/>
              <w:rPr>
                <w:sz w:val="21"/>
                <w:szCs w:val="21"/>
              </w:rPr>
            </w:pPr>
            <w:r w:rsidRPr="00B848AE">
              <w:rPr>
                <w:sz w:val="21"/>
                <w:szCs w:val="21"/>
              </w:rPr>
              <w:t>149,722.00</w:t>
            </w:r>
          </w:p>
        </w:tc>
        <w:tc>
          <w:tcPr>
            <w:tcW w:w="1161" w:type="dxa"/>
          </w:tcPr>
          <w:p w14:paraId="7C12F86C" w14:textId="60863A02" w:rsidR="00103E48" w:rsidRPr="00B848AE" w:rsidRDefault="00B848AE" w:rsidP="00B848AE">
            <w:pPr>
              <w:jc w:val="right"/>
              <w:rPr>
                <w:sz w:val="21"/>
                <w:szCs w:val="21"/>
              </w:rPr>
            </w:pPr>
            <w:r w:rsidRPr="00B848AE">
              <w:rPr>
                <w:sz w:val="21"/>
                <w:szCs w:val="21"/>
              </w:rPr>
              <w:t>166,288.20</w:t>
            </w:r>
          </w:p>
        </w:tc>
        <w:tc>
          <w:tcPr>
            <w:tcW w:w="1178" w:type="dxa"/>
          </w:tcPr>
          <w:p w14:paraId="7ED134DA" w14:textId="374E1589" w:rsidR="00103E48" w:rsidRPr="00B848AE" w:rsidRDefault="00A44EA4" w:rsidP="00B848AE">
            <w:pPr>
              <w:jc w:val="right"/>
              <w:rPr>
                <w:sz w:val="21"/>
                <w:szCs w:val="21"/>
              </w:rPr>
            </w:pPr>
            <w:r>
              <w:rPr>
                <w:sz w:val="21"/>
                <w:szCs w:val="21"/>
              </w:rPr>
              <w:t>341,475.80</w:t>
            </w:r>
          </w:p>
        </w:tc>
      </w:tr>
      <w:tr w:rsidR="00B848AE" w14:paraId="0C5BE38C" w14:textId="77777777" w:rsidTr="00A44EA4">
        <w:tc>
          <w:tcPr>
            <w:tcW w:w="2542" w:type="dxa"/>
          </w:tcPr>
          <w:p w14:paraId="1E8D2C7D" w14:textId="0830B235" w:rsidR="00B848AE" w:rsidRPr="00B848AE" w:rsidRDefault="00B848AE" w:rsidP="00AE3DBB">
            <w:pPr>
              <w:rPr>
                <w:sz w:val="21"/>
                <w:szCs w:val="21"/>
              </w:rPr>
            </w:pPr>
            <w:r w:rsidRPr="00B848AE">
              <w:rPr>
                <w:sz w:val="21"/>
                <w:szCs w:val="21"/>
              </w:rPr>
              <w:t>Percent</w:t>
            </w:r>
          </w:p>
        </w:tc>
        <w:tc>
          <w:tcPr>
            <w:tcW w:w="1012" w:type="dxa"/>
          </w:tcPr>
          <w:p w14:paraId="28F07813" w14:textId="302ABEAE" w:rsidR="00B848AE" w:rsidRPr="00B848AE" w:rsidRDefault="00B848AE" w:rsidP="00B848AE">
            <w:pPr>
              <w:jc w:val="right"/>
              <w:rPr>
                <w:sz w:val="21"/>
                <w:szCs w:val="21"/>
              </w:rPr>
            </w:pPr>
            <w:r w:rsidRPr="00B848AE">
              <w:rPr>
                <w:sz w:val="21"/>
                <w:szCs w:val="21"/>
              </w:rPr>
              <w:t>100.0</w:t>
            </w:r>
          </w:p>
        </w:tc>
        <w:tc>
          <w:tcPr>
            <w:tcW w:w="1187" w:type="dxa"/>
          </w:tcPr>
          <w:p w14:paraId="2C3B4160" w14:textId="77777777" w:rsidR="00B848AE" w:rsidRPr="00B848AE" w:rsidRDefault="00B848AE" w:rsidP="00AE3DBB">
            <w:pPr>
              <w:rPr>
                <w:sz w:val="21"/>
                <w:szCs w:val="21"/>
              </w:rPr>
            </w:pPr>
          </w:p>
        </w:tc>
        <w:tc>
          <w:tcPr>
            <w:tcW w:w="1101" w:type="dxa"/>
          </w:tcPr>
          <w:p w14:paraId="7847DCDC" w14:textId="77777777" w:rsidR="00B848AE" w:rsidRPr="00B848AE" w:rsidRDefault="00B848AE" w:rsidP="00AE3DBB">
            <w:pPr>
              <w:rPr>
                <w:sz w:val="21"/>
                <w:szCs w:val="21"/>
              </w:rPr>
            </w:pPr>
          </w:p>
        </w:tc>
        <w:tc>
          <w:tcPr>
            <w:tcW w:w="1169" w:type="dxa"/>
          </w:tcPr>
          <w:p w14:paraId="77F0CDB8" w14:textId="77777777" w:rsidR="00B848AE" w:rsidRPr="00B848AE" w:rsidRDefault="00B848AE" w:rsidP="00AE3DBB">
            <w:pPr>
              <w:rPr>
                <w:sz w:val="21"/>
                <w:szCs w:val="21"/>
              </w:rPr>
            </w:pPr>
          </w:p>
        </w:tc>
        <w:tc>
          <w:tcPr>
            <w:tcW w:w="1161" w:type="dxa"/>
          </w:tcPr>
          <w:p w14:paraId="6C10F7F7" w14:textId="77777777" w:rsidR="00B848AE" w:rsidRPr="00B848AE" w:rsidRDefault="00B848AE" w:rsidP="00AE3DBB">
            <w:pPr>
              <w:rPr>
                <w:sz w:val="21"/>
                <w:szCs w:val="21"/>
              </w:rPr>
            </w:pPr>
          </w:p>
        </w:tc>
        <w:tc>
          <w:tcPr>
            <w:tcW w:w="1178" w:type="dxa"/>
          </w:tcPr>
          <w:p w14:paraId="62059CC4" w14:textId="77777777" w:rsidR="00B848AE" w:rsidRPr="00B848AE" w:rsidRDefault="00B848AE" w:rsidP="00AE3DBB">
            <w:pPr>
              <w:rPr>
                <w:sz w:val="21"/>
                <w:szCs w:val="21"/>
              </w:rPr>
            </w:pPr>
          </w:p>
        </w:tc>
      </w:tr>
    </w:tbl>
    <w:p w14:paraId="0C4A100F" w14:textId="1F21E2DF" w:rsidR="00B55EAB" w:rsidRDefault="00B55EAB" w:rsidP="00AE3DBB"/>
    <w:p w14:paraId="2B288CA4" w14:textId="247DCAAF" w:rsidR="00267F72" w:rsidRDefault="00F20433" w:rsidP="001424D7">
      <w:pPr>
        <w:jc w:val="both"/>
      </w:pPr>
      <w:r>
        <w:t xml:space="preserve">Result in table 3 has been calculate refers to table 2, </w:t>
      </w:r>
      <w:r w:rsidR="001424D7">
        <w:t>in the assumption that personal income tax cannot be shifted to other people, therefore, taxpayers are assumed to bear the entire burden. Thus, we calculate respectively to the proportion to household expenditure on the tax, for example the lowest income will bear personal income tax as much as 153,920 * 1.87% = 2,878.30 million baht.</w:t>
      </w:r>
      <w:r w:rsidR="00067970">
        <w:t xml:space="preserve"> All other </w:t>
      </w:r>
      <w:r w:rsidR="005A4C44">
        <w:t xml:space="preserve">strata in the </w:t>
      </w:r>
      <w:r w:rsidR="00067970">
        <w:t>quintile will be calculated similarly.</w:t>
      </w:r>
    </w:p>
    <w:p w14:paraId="1C8B957E" w14:textId="77777777" w:rsidR="001424D7" w:rsidRDefault="001424D7" w:rsidP="001424D7">
      <w:pPr>
        <w:jc w:val="both"/>
      </w:pPr>
    </w:p>
    <w:p w14:paraId="49C78A15" w14:textId="07322FFF" w:rsidR="001424D7" w:rsidRDefault="001424D7" w:rsidP="001424D7">
      <w:pPr>
        <w:jc w:val="both"/>
      </w:pPr>
      <w:r>
        <w:t xml:space="preserve">The corporate income tax, although the direct tax, but it can be shifted to the consumer due to non-competitive market condition especially in the developing countries, the burden of this tax will be passed onto the consumers proportionally, such as the low income will be shifted the burden as much as 288,500 * </w:t>
      </w:r>
      <w:r w:rsidR="00067970">
        <w:t>13.18% = 29,340.45 million baht for example.</w:t>
      </w:r>
      <w:r w:rsidR="00067970" w:rsidRPr="00067970">
        <w:t xml:space="preserve"> </w:t>
      </w:r>
      <w:r w:rsidR="00067970">
        <w:t xml:space="preserve">All other </w:t>
      </w:r>
      <w:r w:rsidR="005A4C44">
        <w:t xml:space="preserve">strata in the </w:t>
      </w:r>
      <w:r w:rsidR="00067970">
        <w:t>quintile will be calculated similarly.</w:t>
      </w:r>
    </w:p>
    <w:p w14:paraId="03C1C438" w14:textId="77777777" w:rsidR="00067970" w:rsidRDefault="00067970" w:rsidP="001424D7">
      <w:pPr>
        <w:jc w:val="both"/>
      </w:pPr>
    </w:p>
    <w:p w14:paraId="135B1FB7" w14:textId="77777777" w:rsidR="005A4C44" w:rsidRDefault="00067970" w:rsidP="005A4C44">
      <w:pPr>
        <w:jc w:val="both"/>
      </w:pPr>
      <w:r>
        <w:t>The VAT is an indirect tax, so it can be proportionally shifted to the consumer completely through the increasing in price tag, such as for the highest income, they will bear the VAT as much as 376,400 * 37.66% = 141,752,24 million baht for example.</w:t>
      </w:r>
      <w:r w:rsidRPr="00067970">
        <w:t xml:space="preserve"> </w:t>
      </w:r>
      <w:r w:rsidR="005A4C44">
        <w:t>All other strata in the quintile will be calculated similarly.</w:t>
      </w:r>
    </w:p>
    <w:p w14:paraId="25FF3C25" w14:textId="004933F6" w:rsidR="00067970" w:rsidRDefault="00067970" w:rsidP="001424D7">
      <w:pPr>
        <w:jc w:val="both"/>
      </w:pPr>
    </w:p>
    <w:p w14:paraId="4BB32B23" w14:textId="5CDD53D1" w:rsidR="00067970" w:rsidRDefault="00067970" w:rsidP="001424D7">
      <w:pPr>
        <w:jc w:val="both"/>
      </w:pPr>
      <w:r>
        <w:t>The excise tax and import-export taxes are both indirect tax, therefore, the burden will be either shifted to the consumers</w:t>
      </w:r>
      <w:r w:rsidR="00C6319F">
        <w:t>. However, there is no both taxes in the fictitious data used in our study.</w:t>
      </w:r>
    </w:p>
    <w:p w14:paraId="78BA45EB" w14:textId="77777777" w:rsidR="00067970" w:rsidRDefault="00067970" w:rsidP="001424D7">
      <w:pPr>
        <w:jc w:val="both"/>
      </w:pPr>
    </w:p>
    <w:p w14:paraId="6DC883BC" w14:textId="226FD1DB" w:rsidR="00067970" w:rsidRDefault="00C478CF" w:rsidP="001424D7">
      <w:pPr>
        <w:jc w:val="both"/>
      </w:pPr>
      <w:r>
        <w:t>Table 4: Effective Tax Rate (%)</w:t>
      </w:r>
    </w:p>
    <w:tbl>
      <w:tblPr>
        <w:tblStyle w:val="TableGrid"/>
        <w:tblW w:w="0" w:type="auto"/>
        <w:tblLook w:val="04A0" w:firstRow="1" w:lastRow="0" w:firstColumn="1" w:lastColumn="0" w:noHBand="0" w:noVBand="1"/>
      </w:tblPr>
      <w:tblGrid>
        <w:gridCol w:w="3493"/>
        <w:gridCol w:w="988"/>
        <w:gridCol w:w="923"/>
        <w:gridCol w:w="923"/>
        <w:gridCol w:w="923"/>
        <w:gridCol w:w="1071"/>
        <w:gridCol w:w="1029"/>
      </w:tblGrid>
      <w:tr w:rsidR="00BD0AA8" w14:paraId="325E05DE" w14:textId="53CA6D81" w:rsidTr="00BD0AA8">
        <w:tc>
          <w:tcPr>
            <w:tcW w:w="3505" w:type="dxa"/>
            <w:vMerge w:val="restart"/>
            <w:shd w:val="pct5" w:color="auto" w:fill="auto"/>
          </w:tcPr>
          <w:p w14:paraId="5D0DEFCD" w14:textId="77777777" w:rsidR="00BD0AA8" w:rsidRDefault="00BD0AA8" w:rsidP="00C67CE9">
            <w:pPr>
              <w:jc w:val="center"/>
            </w:pPr>
          </w:p>
          <w:p w14:paraId="50899F13" w14:textId="09978203" w:rsidR="00BD0AA8" w:rsidRDefault="00BD0AA8" w:rsidP="00C67CE9">
            <w:pPr>
              <w:jc w:val="center"/>
            </w:pPr>
            <w:r>
              <w:t>Type of tax</w:t>
            </w:r>
          </w:p>
        </w:tc>
        <w:tc>
          <w:tcPr>
            <w:tcW w:w="4829" w:type="dxa"/>
            <w:gridSpan w:val="5"/>
            <w:shd w:val="pct5" w:color="auto" w:fill="auto"/>
          </w:tcPr>
          <w:p w14:paraId="3D8F0275" w14:textId="146365AA" w:rsidR="00BD0AA8" w:rsidRDefault="00BD0AA8" w:rsidP="00C67CE9">
            <w:pPr>
              <w:jc w:val="center"/>
            </w:pPr>
            <w:r>
              <w:t>Income class</w:t>
            </w:r>
          </w:p>
        </w:tc>
        <w:tc>
          <w:tcPr>
            <w:tcW w:w="1016" w:type="dxa"/>
            <w:shd w:val="pct5" w:color="auto" w:fill="auto"/>
          </w:tcPr>
          <w:p w14:paraId="17D7D9D6" w14:textId="77777777" w:rsidR="00BD0AA8" w:rsidRDefault="00BD0AA8" w:rsidP="00C67CE9">
            <w:pPr>
              <w:jc w:val="center"/>
            </w:pPr>
          </w:p>
        </w:tc>
      </w:tr>
      <w:tr w:rsidR="00BD0AA8" w14:paraId="424F6D96" w14:textId="4ECCB6C4" w:rsidTr="00BD0AA8">
        <w:tc>
          <w:tcPr>
            <w:tcW w:w="3505" w:type="dxa"/>
            <w:vMerge/>
            <w:shd w:val="pct5" w:color="auto" w:fill="auto"/>
          </w:tcPr>
          <w:p w14:paraId="5C13D470" w14:textId="77777777" w:rsidR="00BD0AA8" w:rsidRDefault="00BD0AA8" w:rsidP="00C67CE9">
            <w:pPr>
              <w:jc w:val="center"/>
            </w:pPr>
          </w:p>
        </w:tc>
        <w:tc>
          <w:tcPr>
            <w:tcW w:w="988" w:type="dxa"/>
            <w:shd w:val="pct5" w:color="auto" w:fill="auto"/>
          </w:tcPr>
          <w:p w14:paraId="7FC9AEC4" w14:textId="443FE38E" w:rsidR="00BD0AA8" w:rsidRDefault="00BD0AA8" w:rsidP="00C67CE9">
            <w:pPr>
              <w:jc w:val="center"/>
            </w:pPr>
            <w:r>
              <w:t>Lowest income</w:t>
            </w:r>
          </w:p>
        </w:tc>
        <w:tc>
          <w:tcPr>
            <w:tcW w:w="923" w:type="dxa"/>
            <w:shd w:val="pct5" w:color="auto" w:fill="auto"/>
          </w:tcPr>
          <w:p w14:paraId="77428C7C" w14:textId="62098C49" w:rsidR="00BD0AA8" w:rsidRDefault="00BD0AA8" w:rsidP="00C67CE9">
            <w:pPr>
              <w:jc w:val="center"/>
            </w:pPr>
            <w:r>
              <w:t>Low income</w:t>
            </w:r>
          </w:p>
        </w:tc>
        <w:tc>
          <w:tcPr>
            <w:tcW w:w="923" w:type="dxa"/>
            <w:shd w:val="pct5" w:color="auto" w:fill="auto"/>
          </w:tcPr>
          <w:p w14:paraId="4F1477D8" w14:textId="2357B439" w:rsidR="00BD0AA8" w:rsidRDefault="00BD0AA8" w:rsidP="00C67CE9">
            <w:pPr>
              <w:jc w:val="center"/>
            </w:pPr>
            <w:r>
              <w:t>Middle income</w:t>
            </w:r>
          </w:p>
        </w:tc>
        <w:tc>
          <w:tcPr>
            <w:tcW w:w="923" w:type="dxa"/>
            <w:shd w:val="pct5" w:color="auto" w:fill="auto"/>
          </w:tcPr>
          <w:p w14:paraId="5F466A9D" w14:textId="76A9B12A" w:rsidR="00BD0AA8" w:rsidRDefault="00BD0AA8" w:rsidP="00C67CE9">
            <w:pPr>
              <w:jc w:val="center"/>
            </w:pPr>
            <w:r>
              <w:t>High income</w:t>
            </w:r>
          </w:p>
        </w:tc>
        <w:tc>
          <w:tcPr>
            <w:tcW w:w="1072" w:type="dxa"/>
            <w:shd w:val="pct5" w:color="auto" w:fill="auto"/>
          </w:tcPr>
          <w:p w14:paraId="2B74FE60" w14:textId="66FE9CE1" w:rsidR="00BD0AA8" w:rsidRDefault="00BD0AA8" w:rsidP="00C67CE9">
            <w:pPr>
              <w:jc w:val="center"/>
            </w:pPr>
            <w:r>
              <w:t>Highest income</w:t>
            </w:r>
          </w:p>
        </w:tc>
        <w:tc>
          <w:tcPr>
            <w:tcW w:w="1016" w:type="dxa"/>
            <w:shd w:val="pct5" w:color="auto" w:fill="auto"/>
          </w:tcPr>
          <w:p w14:paraId="1E8C56BF" w14:textId="08159291" w:rsidR="00BD0AA8" w:rsidRDefault="00BD0AA8" w:rsidP="00C67CE9">
            <w:pPr>
              <w:jc w:val="center"/>
            </w:pPr>
            <w:r>
              <w:t>Average</w:t>
            </w:r>
          </w:p>
        </w:tc>
      </w:tr>
      <w:tr w:rsidR="00BD0AA8" w14:paraId="32358E41" w14:textId="08E89330" w:rsidTr="00BD0AA8">
        <w:tc>
          <w:tcPr>
            <w:tcW w:w="3505" w:type="dxa"/>
          </w:tcPr>
          <w:p w14:paraId="10A7B5A7" w14:textId="4AF0B1FE" w:rsidR="00BD0AA8" w:rsidRDefault="00BD0AA8" w:rsidP="00300BDE">
            <w:r>
              <w:t>1. Personal income tax</w:t>
            </w:r>
          </w:p>
          <w:p w14:paraId="41A573DC" w14:textId="77777777" w:rsidR="00BD0AA8" w:rsidRDefault="00BD0AA8" w:rsidP="00300BDE">
            <w:r>
              <w:t>2. Corporate income tax</w:t>
            </w:r>
          </w:p>
          <w:p w14:paraId="0E179C64" w14:textId="77777777" w:rsidR="00BD0AA8" w:rsidRDefault="00BD0AA8" w:rsidP="00300BDE">
            <w:r>
              <w:t>3. VAT</w:t>
            </w:r>
          </w:p>
          <w:p w14:paraId="75EE1D8D" w14:textId="77777777" w:rsidR="00BD0AA8" w:rsidRDefault="00BD0AA8" w:rsidP="00300BDE">
            <w:r>
              <w:t>4. Excise tax</w:t>
            </w:r>
          </w:p>
          <w:p w14:paraId="7C2BDC9E" w14:textId="0EE93C36" w:rsidR="00BD0AA8" w:rsidRDefault="00BD0AA8" w:rsidP="00300BDE">
            <w:r>
              <w:t>5. Import tax</w:t>
            </w:r>
          </w:p>
        </w:tc>
        <w:tc>
          <w:tcPr>
            <w:tcW w:w="988" w:type="dxa"/>
          </w:tcPr>
          <w:p w14:paraId="4B73E26E" w14:textId="77777777" w:rsidR="00BD0AA8" w:rsidRDefault="00BD0AA8" w:rsidP="00DD65B1">
            <w:pPr>
              <w:jc w:val="right"/>
            </w:pPr>
            <w:r>
              <w:t>1.81</w:t>
            </w:r>
          </w:p>
          <w:p w14:paraId="2CA1D027" w14:textId="77777777" w:rsidR="00BD0AA8" w:rsidRDefault="00BD0AA8" w:rsidP="00DD65B1">
            <w:pPr>
              <w:jc w:val="right"/>
            </w:pPr>
            <w:r>
              <w:t>18.44</w:t>
            </w:r>
          </w:p>
          <w:p w14:paraId="39BBA464" w14:textId="689F7FB8" w:rsidR="00BD0AA8" w:rsidRDefault="00BD0AA8" w:rsidP="00DD65B1">
            <w:pPr>
              <w:jc w:val="right"/>
            </w:pPr>
            <w:r>
              <w:t>24.05</w:t>
            </w:r>
          </w:p>
        </w:tc>
        <w:tc>
          <w:tcPr>
            <w:tcW w:w="923" w:type="dxa"/>
          </w:tcPr>
          <w:p w14:paraId="20BF1408" w14:textId="77777777" w:rsidR="00BD0AA8" w:rsidRDefault="00BD0AA8" w:rsidP="00DD65B1">
            <w:pPr>
              <w:jc w:val="right"/>
            </w:pPr>
            <w:r>
              <w:t>1.35</w:t>
            </w:r>
          </w:p>
          <w:p w14:paraId="3FFE7BB8" w14:textId="77777777" w:rsidR="00BD0AA8" w:rsidRDefault="00BD0AA8" w:rsidP="00DD65B1">
            <w:pPr>
              <w:jc w:val="right"/>
            </w:pPr>
            <w:r>
              <w:t>16.02</w:t>
            </w:r>
          </w:p>
          <w:p w14:paraId="1C9854B0" w14:textId="77777777" w:rsidR="00BD0AA8" w:rsidRDefault="00BD0AA8" w:rsidP="00DD65B1">
            <w:pPr>
              <w:jc w:val="right"/>
            </w:pPr>
            <w:r>
              <w:t>20.90</w:t>
            </w:r>
          </w:p>
          <w:p w14:paraId="5EF47EAE" w14:textId="77777777" w:rsidR="00BD0AA8" w:rsidRDefault="00BD0AA8" w:rsidP="00DD65B1">
            <w:pPr>
              <w:jc w:val="right"/>
            </w:pPr>
          </w:p>
          <w:p w14:paraId="6E9E6811" w14:textId="77777777" w:rsidR="00BD0AA8" w:rsidRDefault="00BD0AA8" w:rsidP="00DD65B1">
            <w:pPr>
              <w:jc w:val="right"/>
            </w:pPr>
          </w:p>
        </w:tc>
        <w:tc>
          <w:tcPr>
            <w:tcW w:w="923" w:type="dxa"/>
          </w:tcPr>
          <w:p w14:paraId="546B7CB5" w14:textId="77777777" w:rsidR="00BD0AA8" w:rsidRDefault="00BD0AA8" w:rsidP="00DD65B1">
            <w:pPr>
              <w:jc w:val="right"/>
            </w:pPr>
            <w:r>
              <w:t>7.92</w:t>
            </w:r>
          </w:p>
          <w:p w14:paraId="464C6B85" w14:textId="77777777" w:rsidR="00BD0AA8" w:rsidRDefault="00BD0AA8" w:rsidP="00DD65B1">
            <w:pPr>
              <w:jc w:val="right"/>
            </w:pPr>
            <w:r>
              <w:t>17.05</w:t>
            </w:r>
          </w:p>
          <w:p w14:paraId="4E0B48EA" w14:textId="5BF6B9DC" w:rsidR="00BD0AA8" w:rsidRDefault="00BD0AA8" w:rsidP="00DD65B1">
            <w:pPr>
              <w:jc w:val="right"/>
            </w:pPr>
            <w:r>
              <w:t>22.24</w:t>
            </w:r>
          </w:p>
        </w:tc>
        <w:tc>
          <w:tcPr>
            <w:tcW w:w="923" w:type="dxa"/>
          </w:tcPr>
          <w:p w14:paraId="2E90A56E" w14:textId="77777777" w:rsidR="00BD0AA8" w:rsidRDefault="00BD0AA8" w:rsidP="00DD65B1">
            <w:pPr>
              <w:jc w:val="right"/>
            </w:pPr>
            <w:r>
              <w:t>7.40</w:t>
            </w:r>
          </w:p>
          <w:p w14:paraId="6D7397B9" w14:textId="77777777" w:rsidR="00BD0AA8" w:rsidRDefault="00BD0AA8" w:rsidP="00DD65B1">
            <w:pPr>
              <w:jc w:val="right"/>
            </w:pPr>
            <w:r>
              <w:t>13.66</w:t>
            </w:r>
          </w:p>
          <w:p w14:paraId="21F912D9" w14:textId="7CB1C8F8" w:rsidR="00BD0AA8" w:rsidRDefault="00BD0AA8" w:rsidP="00DD65B1">
            <w:pPr>
              <w:jc w:val="right"/>
            </w:pPr>
            <w:r>
              <w:t>17.82</w:t>
            </w:r>
          </w:p>
        </w:tc>
        <w:tc>
          <w:tcPr>
            <w:tcW w:w="1072" w:type="dxa"/>
          </w:tcPr>
          <w:p w14:paraId="4DA08CCE" w14:textId="77777777" w:rsidR="00BD0AA8" w:rsidRDefault="00BD0AA8" w:rsidP="00DD65B1">
            <w:pPr>
              <w:jc w:val="right"/>
            </w:pPr>
            <w:r>
              <w:t>11.26</w:t>
            </w:r>
          </w:p>
          <w:p w14:paraId="54386492" w14:textId="77777777" w:rsidR="00BD0AA8" w:rsidRDefault="00BD0AA8" w:rsidP="00DD65B1">
            <w:pPr>
              <w:jc w:val="right"/>
            </w:pPr>
            <w:r>
              <w:t>13.43</w:t>
            </w:r>
          </w:p>
          <w:p w14:paraId="6B54E080" w14:textId="536061CB" w:rsidR="00BD0AA8" w:rsidRDefault="00BD0AA8" w:rsidP="00DD65B1">
            <w:pPr>
              <w:jc w:val="right"/>
            </w:pPr>
            <w:r>
              <w:t>17.52</w:t>
            </w:r>
          </w:p>
        </w:tc>
        <w:tc>
          <w:tcPr>
            <w:tcW w:w="1016" w:type="dxa"/>
          </w:tcPr>
          <w:p w14:paraId="3EA477B4" w14:textId="77777777" w:rsidR="00BD0AA8" w:rsidRDefault="00BD0AA8" w:rsidP="00DD65B1">
            <w:pPr>
              <w:jc w:val="right"/>
            </w:pPr>
            <w:r>
              <w:t>5.95</w:t>
            </w:r>
          </w:p>
          <w:p w14:paraId="441E3327" w14:textId="77777777" w:rsidR="00BD0AA8" w:rsidRDefault="00BD0AA8" w:rsidP="00DD65B1">
            <w:pPr>
              <w:jc w:val="right"/>
            </w:pPr>
            <w:r>
              <w:t>15.72</w:t>
            </w:r>
          </w:p>
          <w:p w14:paraId="5D635BF2" w14:textId="098D0B54" w:rsidR="00BD0AA8" w:rsidRDefault="00BD0AA8" w:rsidP="00DD65B1">
            <w:pPr>
              <w:jc w:val="right"/>
            </w:pPr>
            <w:r>
              <w:t>20.51</w:t>
            </w:r>
          </w:p>
        </w:tc>
      </w:tr>
      <w:tr w:rsidR="00BD0AA8" w14:paraId="661520C9" w14:textId="47CB4601" w:rsidTr="00BD0AA8">
        <w:tc>
          <w:tcPr>
            <w:tcW w:w="3505" w:type="dxa"/>
          </w:tcPr>
          <w:p w14:paraId="4B9F21EA" w14:textId="559D2B25" w:rsidR="00BD0AA8" w:rsidRDefault="00BD0AA8" w:rsidP="001424D7">
            <w:pPr>
              <w:jc w:val="both"/>
            </w:pPr>
            <w:r>
              <w:t>Total</w:t>
            </w:r>
          </w:p>
        </w:tc>
        <w:tc>
          <w:tcPr>
            <w:tcW w:w="988" w:type="dxa"/>
          </w:tcPr>
          <w:p w14:paraId="32E4E0BB" w14:textId="49F3959A" w:rsidR="00BD0AA8" w:rsidRDefault="00BD0AA8" w:rsidP="00DD65B1">
            <w:pPr>
              <w:jc w:val="right"/>
            </w:pPr>
            <w:r>
              <w:t>44.30</w:t>
            </w:r>
          </w:p>
        </w:tc>
        <w:tc>
          <w:tcPr>
            <w:tcW w:w="923" w:type="dxa"/>
          </w:tcPr>
          <w:p w14:paraId="118E2DCB" w14:textId="64ACCE19" w:rsidR="00BD0AA8" w:rsidRDefault="00BD0AA8" w:rsidP="00DD65B1">
            <w:pPr>
              <w:jc w:val="right"/>
            </w:pPr>
            <w:r>
              <w:t>38.27</w:t>
            </w:r>
          </w:p>
        </w:tc>
        <w:tc>
          <w:tcPr>
            <w:tcW w:w="923" w:type="dxa"/>
          </w:tcPr>
          <w:p w14:paraId="167F7FA5" w14:textId="2345245C" w:rsidR="00BD0AA8" w:rsidRDefault="00BD0AA8" w:rsidP="00DD65B1">
            <w:pPr>
              <w:jc w:val="right"/>
            </w:pPr>
            <w:r>
              <w:t>47.21</w:t>
            </w:r>
          </w:p>
        </w:tc>
        <w:tc>
          <w:tcPr>
            <w:tcW w:w="923" w:type="dxa"/>
          </w:tcPr>
          <w:p w14:paraId="34508794" w14:textId="4B77CA81" w:rsidR="00BD0AA8" w:rsidRDefault="00BD0AA8" w:rsidP="00DD65B1">
            <w:pPr>
              <w:jc w:val="right"/>
            </w:pPr>
            <w:r>
              <w:t>38.88</w:t>
            </w:r>
          </w:p>
        </w:tc>
        <w:tc>
          <w:tcPr>
            <w:tcW w:w="1072" w:type="dxa"/>
          </w:tcPr>
          <w:p w14:paraId="106DF9CE" w14:textId="3394783F" w:rsidR="00BD0AA8" w:rsidRDefault="00BD0AA8" w:rsidP="00DD65B1">
            <w:pPr>
              <w:jc w:val="right"/>
            </w:pPr>
            <w:r>
              <w:t>42.21</w:t>
            </w:r>
          </w:p>
        </w:tc>
        <w:tc>
          <w:tcPr>
            <w:tcW w:w="1016" w:type="dxa"/>
          </w:tcPr>
          <w:p w14:paraId="5C496E33" w14:textId="02F843AD" w:rsidR="00BD0AA8" w:rsidRDefault="00BD0AA8" w:rsidP="00DD65B1">
            <w:pPr>
              <w:jc w:val="right"/>
            </w:pPr>
            <w:r>
              <w:t>42.17</w:t>
            </w:r>
          </w:p>
        </w:tc>
      </w:tr>
    </w:tbl>
    <w:p w14:paraId="6B547740" w14:textId="77777777" w:rsidR="00C478CF" w:rsidRPr="00F20433" w:rsidRDefault="00C478CF" w:rsidP="001424D7">
      <w:pPr>
        <w:jc w:val="both"/>
      </w:pPr>
    </w:p>
    <w:p w14:paraId="4DA833B0" w14:textId="1C843E38" w:rsidR="00267F72" w:rsidRDefault="00011626" w:rsidP="00F36964">
      <w:pPr>
        <w:jc w:val="both"/>
      </w:pPr>
      <w:r>
        <w:t>The effective tax rate, according to Krongkaew (</w:t>
      </w:r>
      <w:r w:rsidR="00F36964">
        <w:t>1979: 46</w:t>
      </w:r>
      <w:r>
        <w:t>), is the “</w:t>
      </w:r>
      <w:r w:rsidRPr="00F36964">
        <w:rPr>
          <w:i/>
          <w:iCs/>
        </w:rPr>
        <w:t xml:space="preserve">ratio of absolute burden of </w:t>
      </w:r>
      <w:r w:rsidR="00F36964" w:rsidRPr="00F36964">
        <w:rPr>
          <w:i/>
          <w:iCs/>
        </w:rPr>
        <w:t>tax to the total (money) income o</w:t>
      </w:r>
      <w:r w:rsidR="00C64EB0">
        <w:rPr>
          <w:i/>
          <w:iCs/>
        </w:rPr>
        <w:t>f</w:t>
      </w:r>
      <w:r w:rsidR="00F36964" w:rsidRPr="00F36964">
        <w:rPr>
          <w:i/>
          <w:iCs/>
        </w:rPr>
        <w:t xml:space="preserve"> the households which bear such burden. In other words, it shows the proportion of money income that each income class has contributed, directly or indirectly, as taxes, charges or the payments to the government</w:t>
      </w:r>
      <w:r w:rsidR="00F36964">
        <w:t>.”</w:t>
      </w:r>
      <w:r w:rsidR="003A4524">
        <w:t xml:space="preserve"> We can calculate the effective tax rate as shown in table 4</w:t>
      </w:r>
      <w:r w:rsidR="00876B87">
        <w:t xml:space="preserve"> from household income distribution (table 1) and the distributional effect of tax by income class (table 3) as a following formula:</w:t>
      </w:r>
    </w:p>
    <w:p w14:paraId="18539D4C" w14:textId="77777777" w:rsidR="00876B87" w:rsidRDefault="00876B87" w:rsidP="00F36964">
      <w:pPr>
        <w:jc w:val="both"/>
      </w:pPr>
    </w:p>
    <w:tbl>
      <w:tblPr>
        <w:tblStyle w:val="TableGrid"/>
        <w:tblW w:w="12169" w:type="dxa"/>
        <w:tblInd w:w="-11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8"/>
        <w:gridCol w:w="928"/>
        <w:gridCol w:w="9463"/>
      </w:tblGrid>
      <w:tr w:rsidR="00C17015" w14:paraId="74DA6F59" w14:textId="77777777" w:rsidTr="00C17015">
        <w:trPr>
          <w:trHeight w:val="1097"/>
        </w:trPr>
        <w:tc>
          <w:tcPr>
            <w:tcW w:w="1778" w:type="dxa"/>
          </w:tcPr>
          <w:p w14:paraId="096C886C" w14:textId="57506001" w:rsidR="00C17015" w:rsidRPr="00C17015" w:rsidRDefault="00C17015" w:rsidP="00C17015">
            <w:pPr>
              <w:rPr>
                <w:sz w:val="20"/>
                <w:szCs w:val="20"/>
              </w:rPr>
            </w:pPr>
            <w:r w:rsidRPr="00C17015">
              <w:rPr>
                <w:sz w:val="20"/>
                <w:szCs w:val="20"/>
              </w:rPr>
              <w:t>Effective Tax Rate (ETR)</w:t>
            </w:r>
          </w:p>
        </w:tc>
        <w:tc>
          <w:tcPr>
            <w:tcW w:w="928" w:type="dxa"/>
          </w:tcPr>
          <w:p w14:paraId="23BA5341" w14:textId="66EA57A1" w:rsidR="00C17015" w:rsidRDefault="00C17015" w:rsidP="00876B87">
            <w:pPr>
              <w:jc w:val="center"/>
            </w:pPr>
            <w:r>
              <w:t>=</w:t>
            </w:r>
          </w:p>
        </w:tc>
        <w:tc>
          <w:tcPr>
            <w:tcW w:w="9463" w:type="dxa"/>
          </w:tcPr>
          <w:p w14:paraId="3E18AB0C" w14:textId="28D4396F" w:rsidR="00C17015" w:rsidRPr="00C17015" w:rsidRDefault="00FC708B" w:rsidP="00F36964">
            <w:pPr>
              <w:jc w:val="both"/>
              <w:rPr>
                <w:sz w:val="20"/>
                <w:szCs w:val="20"/>
              </w:rPr>
            </w:pPr>
            <m:oMathPara>
              <m:oMathParaPr>
                <m:jc m:val="left"/>
              </m:oMathParaPr>
              <m:oMath>
                <m:f>
                  <m:fPr>
                    <m:ctrlPr>
                      <w:rPr>
                        <w:rFonts w:ascii="Cambria Math" w:hAnsi="Cambria Math"/>
                        <w:i/>
                        <w:sz w:val="20"/>
                        <w:szCs w:val="20"/>
                      </w:rPr>
                    </m:ctrlPr>
                  </m:fPr>
                  <m:num>
                    <m:r>
                      <w:rPr>
                        <w:rFonts w:ascii="Cambria Math" w:hAnsi="Cambria Math"/>
                        <w:sz w:val="20"/>
                        <w:szCs w:val="20"/>
                      </w:rPr>
                      <m:t>Total amount of each tax paid by each income class x 100</m:t>
                    </m:r>
                  </m:num>
                  <m:den>
                    <m:d>
                      <m:dPr>
                        <m:ctrlPr>
                          <w:rPr>
                            <w:rFonts w:ascii="Cambria Math" w:hAnsi="Cambria Math"/>
                            <w:i/>
                            <w:sz w:val="20"/>
                            <w:szCs w:val="20"/>
                          </w:rPr>
                        </m:ctrlPr>
                      </m:dPr>
                      <m:e>
                        <m:r>
                          <w:rPr>
                            <w:rFonts w:ascii="Cambria Math" w:hAnsi="Cambria Math"/>
                            <w:sz w:val="20"/>
                            <w:szCs w:val="20"/>
                          </w:rPr>
                          <m:t>Total income per yea of each income class</m:t>
                        </m:r>
                      </m:e>
                    </m:d>
                    <m:r>
                      <w:rPr>
                        <w:rFonts w:ascii="Cambria Math" w:hAnsi="Cambria Math"/>
                        <w:sz w:val="20"/>
                        <w:szCs w:val="20"/>
                      </w:rPr>
                      <m:t>x</m:t>
                    </m:r>
                    <m:d>
                      <m:dPr>
                        <m:ctrlPr>
                          <w:rPr>
                            <w:rFonts w:ascii="Cambria Math" w:hAnsi="Cambria Math"/>
                            <w:i/>
                            <w:sz w:val="20"/>
                            <w:szCs w:val="20"/>
                          </w:rPr>
                        </m:ctrlPr>
                      </m:dPr>
                      <m:e>
                        <m:r>
                          <w:rPr>
                            <w:rFonts w:ascii="Cambria Math" w:hAnsi="Cambria Math"/>
                            <w:sz w:val="20"/>
                            <w:szCs w:val="20"/>
                          </w:rPr>
                          <m:t>Total amount of household of each income class</m:t>
                        </m:r>
                      </m:e>
                    </m:d>
                  </m:den>
                </m:f>
              </m:oMath>
            </m:oMathPara>
          </w:p>
        </w:tc>
      </w:tr>
    </w:tbl>
    <w:p w14:paraId="5AC633DD" w14:textId="407FF190" w:rsidR="00876B87" w:rsidRDefault="00C17015" w:rsidP="00F36964">
      <w:pPr>
        <w:jc w:val="both"/>
      </w:pPr>
      <w:r>
        <w:t xml:space="preserve">Therefore, we can calculate ETR of Personal Income Tax of the lowest income by </w:t>
      </w:r>
      <w:r w:rsidR="00893EDA">
        <w:t>2,878.30 x 100 x 1,000,000 / ((4,197 x 12) x (3,160,000)) = 1.81 for example. It means that</w:t>
      </w:r>
      <w:r w:rsidR="008E79CB">
        <w:t xml:space="preserve"> average the ETR for the whole revenue system is estimated at 42.17%, indicating that the fiscal burden of the government upon households is almost half of total money income at around 42%. From the data we can say that this country quite have a regressive tax system in which the lowest income and the middle income pay higher ETR compared to the highest income, safe that it make the low income and the high income paying ETR quite very low.</w:t>
      </w:r>
    </w:p>
    <w:p w14:paraId="52D12E40" w14:textId="5554C584" w:rsidR="00DC2E8B" w:rsidRDefault="00DC04E2" w:rsidP="00F36964">
      <w:pPr>
        <w:jc w:val="both"/>
      </w:pPr>
      <w:r>
        <w:rPr>
          <w:noProof/>
        </w:rPr>
        <w:drawing>
          <wp:anchor distT="0" distB="0" distL="114300" distR="114300" simplePos="0" relativeHeight="251675648" behindDoc="0" locked="0" layoutInCell="1" allowOverlap="1" wp14:anchorId="072C5829" wp14:editId="63E1EB70">
            <wp:simplePos x="0" y="0"/>
            <wp:positionH relativeFrom="column">
              <wp:posOffset>622935</wp:posOffset>
            </wp:positionH>
            <wp:positionV relativeFrom="paragraph">
              <wp:posOffset>176896</wp:posOffset>
            </wp:positionV>
            <wp:extent cx="4572000" cy="2743200"/>
            <wp:effectExtent l="0" t="0" r="0" b="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14:paraId="3DE83DCB" w14:textId="7DB81E12" w:rsidR="00DC2E8B" w:rsidRDefault="00DC2E8B" w:rsidP="00F36964">
      <w:pPr>
        <w:jc w:val="both"/>
      </w:pPr>
    </w:p>
    <w:p w14:paraId="33DBC37E" w14:textId="29614560" w:rsidR="00876B87" w:rsidRDefault="00876B87" w:rsidP="00F36964">
      <w:pPr>
        <w:jc w:val="both"/>
      </w:pPr>
    </w:p>
    <w:p w14:paraId="1DEACE7A" w14:textId="77777777" w:rsidR="00876B87" w:rsidRPr="00011626" w:rsidRDefault="00876B87" w:rsidP="00F36964">
      <w:pPr>
        <w:jc w:val="both"/>
      </w:pPr>
    </w:p>
    <w:p w14:paraId="6559E62D" w14:textId="77777777" w:rsidR="00DC2E8B" w:rsidRDefault="00DC2E8B" w:rsidP="00EF0EC8">
      <w:pPr>
        <w:jc w:val="both"/>
      </w:pPr>
    </w:p>
    <w:p w14:paraId="44E037DF" w14:textId="77777777" w:rsidR="00DC2E8B" w:rsidRDefault="00DC2E8B" w:rsidP="00EF0EC8">
      <w:pPr>
        <w:jc w:val="both"/>
      </w:pPr>
    </w:p>
    <w:p w14:paraId="68CC3296" w14:textId="77777777" w:rsidR="00DC2E8B" w:rsidRDefault="00DC2E8B" w:rsidP="00EF0EC8">
      <w:pPr>
        <w:jc w:val="both"/>
      </w:pPr>
    </w:p>
    <w:p w14:paraId="7CBD96C1" w14:textId="77777777" w:rsidR="00DC2E8B" w:rsidRDefault="00DC2E8B" w:rsidP="00EF0EC8">
      <w:pPr>
        <w:jc w:val="both"/>
      </w:pPr>
    </w:p>
    <w:p w14:paraId="104D6A65" w14:textId="77777777" w:rsidR="00DC2E8B" w:rsidRDefault="00DC2E8B" w:rsidP="00EF0EC8">
      <w:pPr>
        <w:jc w:val="both"/>
      </w:pPr>
    </w:p>
    <w:p w14:paraId="04F756F9" w14:textId="77777777" w:rsidR="00DC2E8B" w:rsidRDefault="00DC2E8B" w:rsidP="00EF0EC8">
      <w:pPr>
        <w:jc w:val="both"/>
      </w:pPr>
    </w:p>
    <w:p w14:paraId="1FD03D5D" w14:textId="77777777" w:rsidR="00DC2E8B" w:rsidRDefault="00DC2E8B" w:rsidP="00EF0EC8">
      <w:pPr>
        <w:jc w:val="both"/>
      </w:pPr>
    </w:p>
    <w:p w14:paraId="12CEE763" w14:textId="77777777" w:rsidR="00DC2E8B" w:rsidRDefault="00DC2E8B" w:rsidP="00EF0EC8">
      <w:pPr>
        <w:jc w:val="both"/>
      </w:pPr>
    </w:p>
    <w:p w14:paraId="268F8933" w14:textId="77777777" w:rsidR="00DC2E8B" w:rsidRDefault="00DC2E8B" w:rsidP="00EF0EC8">
      <w:pPr>
        <w:jc w:val="both"/>
      </w:pPr>
    </w:p>
    <w:p w14:paraId="6B8F20E6" w14:textId="77777777" w:rsidR="00DC2E8B" w:rsidRDefault="00DC2E8B" w:rsidP="00EF0EC8">
      <w:pPr>
        <w:jc w:val="both"/>
      </w:pPr>
    </w:p>
    <w:p w14:paraId="6CEDFA4F" w14:textId="77777777" w:rsidR="00DC2E8B" w:rsidRDefault="00DC2E8B" w:rsidP="00EF0EC8">
      <w:pPr>
        <w:jc w:val="both"/>
      </w:pPr>
    </w:p>
    <w:p w14:paraId="00A89221" w14:textId="77777777" w:rsidR="00DC2E8B" w:rsidRDefault="00DC2E8B" w:rsidP="00EF0EC8">
      <w:pPr>
        <w:jc w:val="both"/>
      </w:pPr>
    </w:p>
    <w:p w14:paraId="5DFA9EFA" w14:textId="77777777" w:rsidR="00DC2E8B" w:rsidRDefault="00DC2E8B" w:rsidP="00EF0EC8">
      <w:pPr>
        <w:jc w:val="both"/>
      </w:pPr>
    </w:p>
    <w:p w14:paraId="72B1D65A" w14:textId="267C6830" w:rsidR="00DC2E8B" w:rsidRDefault="00DC2E8B" w:rsidP="00DC2E8B">
      <w:pPr>
        <w:jc w:val="center"/>
        <w:rPr>
          <w:sz w:val="20"/>
          <w:szCs w:val="20"/>
        </w:rPr>
      </w:pPr>
      <w:r w:rsidRPr="00DC2E8B">
        <w:rPr>
          <w:sz w:val="20"/>
          <w:szCs w:val="20"/>
        </w:rPr>
        <w:t>Figure 1: Effective Tax Rate (ETR)</w:t>
      </w:r>
    </w:p>
    <w:p w14:paraId="0DB5CABD" w14:textId="77777777" w:rsidR="00DC2E8B" w:rsidRDefault="00DC2E8B" w:rsidP="00DC2E8B">
      <w:pPr>
        <w:jc w:val="center"/>
        <w:rPr>
          <w:sz w:val="20"/>
          <w:szCs w:val="20"/>
        </w:rPr>
      </w:pPr>
    </w:p>
    <w:p w14:paraId="122F6B36" w14:textId="77777777" w:rsidR="00DC2E8B" w:rsidRPr="00DC2E8B" w:rsidRDefault="00DC2E8B" w:rsidP="00DC2E8B">
      <w:pPr>
        <w:jc w:val="both"/>
      </w:pPr>
    </w:p>
    <w:p w14:paraId="4030B316" w14:textId="36D5165E" w:rsidR="00DC2E8B" w:rsidRPr="00DC2E8B" w:rsidRDefault="00761900" w:rsidP="00DC2E8B">
      <w:pPr>
        <w:jc w:val="both"/>
      </w:pPr>
      <w:r>
        <w:t>The chart in figure 1 has explained this phenomenon very clearly, that although the personal income tax might be progressively, but because of the shift of the burden on both corporate income tax and VAT to consumers, therefore, the total tax might not be progressively, it can say quite equally where the middle income class have to bare the most burden of the overall tax.</w:t>
      </w:r>
    </w:p>
    <w:p w14:paraId="27531CE0" w14:textId="77777777" w:rsidR="00DC2E8B" w:rsidRPr="00DC2E8B" w:rsidRDefault="00DC2E8B" w:rsidP="00DC2E8B">
      <w:pPr>
        <w:jc w:val="both"/>
      </w:pPr>
    </w:p>
    <w:p w14:paraId="3A877499" w14:textId="77777777" w:rsidR="00DC2E8B" w:rsidRPr="00DC2E8B" w:rsidRDefault="00DC2E8B" w:rsidP="00DC2E8B">
      <w:pPr>
        <w:jc w:val="both"/>
      </w:pPr>
    </w:p>
    <w:p w14:paraId="7990E666" w14:textId="77777777" w:rsidR="00DC2E8B" w:rsidRPr="00DC2E8B" w:rsidRDefault="00DC2E8B" w:rsidP="00DC2E8B">
      <w:pPr>
        <w:jc w:val="both"/>
      </w:pPr>
    </w:p>
    <w:p w14:paraId="46E3C892" w14:textId="77777777" w:rsidR="00DC2E8B" w:rsidRPr="00DC2E8B" w:rsidRDefault="00DC2E8B" w:rsidP="00DC2E8B">
      <w:pPr>
        <w:jc w:val="both"/>
      </w:pPr>
    </w:p>
    <w:p w14:paraId="2B926A13" w14:textId="77777777" w:rsidR="00DC2E8B" w:rsidRPr="00DC2E8B" w:rsidRDefault="00DC2E8B" w:rsidP="00DC2E8B">
      <w:pPr>
        <w:jc w:val="both"/>
      </w:pPr>
    </w:p>
    <w:p w14:paraId="2AFC16FF" w14:textId="77777777" w:rsidR="00DC2E8B" w:rsidRPr="00DC2E8B" w:rsidRDefault="00DC2E8B" w:rsidP="00DC2E8B">
      <w:pPr>
        <w:jc w:val="both"/>
      </w:pPr>
    </w:p>
    <w:p w14:paraId="240B020A" w14:textId="77777777" w:rsidR="00DC2E8B" w:rsidRDefault="00DC2E8B" w:rsidP="00DC2E8B">
      <w:pPr>
        <w:jc w:val="both"/>
      </w:pPr>
    </w:p>
    <w:p w14:paraId="799052CF" w14:textId="77777777" w:rsidR="00DC2E8B" w:rsidRDefault="00DC2E8B" w:rsidP="00DC2E8B">
      <w:pPr>
        <w:jc w:val="both"/>
      </w:pPr>
    </w:p>
    <w:p w14:paraId="30C5D253" w14:textId="77777777" w:rsidR="00DC2E8B" w:rsidRPr="00DC2E8B" w:rsidRDefault="00DC2E8B" w:rsidP="00DC2E8B">
      <w:pPr>
        <w:jc w:val="both"/>
      </w:pPr>
    </w:p>
    <w:p w14:paraId="555A0576" w14:textId="77777777" w:rsidR="00DC2E8B" w:rsidRPr="00DC2E8B" w:rsidRDefault="00DC2E8B" w:rsidP="00DC2E8B">
      <w:pPr>
        <w:jc w:val="center"/>
        <w:rPr>
          <w:sz w:val="20"/>
          <w:szCs w:val="20"/>
        </w:rPr>
      </w:pPr>
    </w:p>
    <w:p w14:paraId="2B7937D4" w14:textId="77777777" w:rsidR="00DC2E8B" w:rsidRDefault="00DC2E8B" w:rsidP="00EF0EC8">
      <w:pPr>
        <w:jc w:val="both"/>
      </w:pPr>
    </w:p>
    <w:p w14:paraId="48D3C50C" w14:textId="261A9CCA" w:rsidR="00267F72" w:rsidRPr="00EF0EC8" w:rsidRDefault="00EF0EC8" w:rsidP="00EF0EC8">
      <w:pPr>
        <w:jc w:val="both"/>
      </w:pPr>
      <w:bookmarkStart w:id="0" w:name="OLE_LINK1"/>
      <w:r>
        <w:t>Table 5: Income Distribution Before and After Tax (% of total income)</w:t>
      </w:r>
      <w:bookmarkEnd w:id="0"/>
    </w:p>
    <w:tbl>
      <w:tblPr>
        <w:tblStyle w:val="TableGrid"/>
        <w:tblW w:w="9355" w:type="dxa"/>
        <w:tblLook w:val="04A0" w:firstRow="1" w:lastRow="0" w:firstColumn="1" w:lastColumn="0" w:noHBand="0" w:noVBand="1"/>
      </w:tblPr>
      <w:tblGrid>
        <w:gridCol w:w="2065"/>
        <w:gridCol w:w="1260"/>
        <w:gridCol w:w="1440"/>
        <w:gridCol w:w="1350"/>
        <w:gridCol w:w="1620"/>
        <w:gridCol w:w="1620"/>
      </w:tblGrid>
      <w:tr w:rsidR="00EF0EC8" w14:paraId="57DE93D8" w14:textId="77777777" w:rsidTr="00EF0EC8">
        <w:tc>
          <w:tcPr>
            <w:tcW w:w="2065" w:type="dxa"/>
            <w:shd w:val="pct5" w:color="auto" w:fill="auto"/>
          </w:tcPr>
          <w:p w14:paraId="2468EDDA" w14:textId="3CC51DC8" w:rsidR="00EF0EC8" w:rsidRDefault="001113FB" w:rsidP="002A1801">
            <w:pPr>
              <w:jc w:val="center"/>
            </w:pPr>
            <w:r>
              <w:t>Income class</w:t>
            </w:r>
          </w:p>
        </w:tc>
        <w:tc>
          <w:tcPr>
            <w:tcW w:w="1260" w:type="dxa"/>
            <w:shd w:val="pct5" w:color="auto" w:fill="auto"/>
          </w:tcPr>
          <w:p w14:paraId="68798528" w14:textId="73661074" w:rsidR="00EF0EC8" w:rsidRDefault="00EF0EC8" w:rsidP="002A1801">
            <w:pPr>
              <w:jc w:val="center"/>
            </w:pPr>
            <w:r>
              <w:t>Pre-tax</w:t>
            </w:r>
          </w:p>
        </w:tc>
        <w:tc>
          <w:tcPr>
            <w:tcW w:w="1440" w:type="dxa"/>
            <w:shd w:val="pct5" w:color="auto" w:fill="auto"/>
          </w:tcPr>
          <w:p w14:paraId="18F63BE1" w14:textId="5B015E8B" w:rsidR="00EF0EC8" w:rsidRDefault="00EF0EC8" w:rsidP="002A1801">
            <w:pPr>
              <w:jc w:val="center"/>
            </w:pPr>
            <w:r>
              <w:t>Post-tax (PIT)</w:t>
            </w:r>
          </w:p>
        </w:tc>
        <w:tc>
          <w:tcPr>
            <w:tcW w:w="1350" w:type="dxa"/>
            <w:shd w:val="pct5" w:color="auto" w:fill="auto"/>
          </w:tcPr>
          <w:p w14:paraId="3963F33E" w14:textId="0E385DB4" w:rsidR="00EF0EC8" w:rsidRDefault="00EF0EC8" w:rsidP="002A1801">
            <w:pPr>
              <w:jc w:val="center"/>
            </w:pPr>
            <w:r>
              <w:t>Post-tax (CIT)</w:t>
            </w:r>
          </w:p>
        </w:tc>
        <w:tc>
          <w:tcPr>
            <w:tcW w:w="1620" w:type="dxa"/>
            <w:shd w:val="pct5" w:color="auto" w:fill="auto"/>
          </w:tcPr>
          <w:p w14:paraId="4A775675" w14:textId="05D2F9C8" w:rsidR="00EF0EC8" w:rsidRDefault="00EF0EC8" w:rsidP="002A1801">
            <w:pPr>
              <w:jc w:val="center"/>
            </w:pPr>
            <w:r>
              <w:t>Post-tax (VAT)</w:t>
            </w:r>
          </w:p>
        </w:tc>
        <w:tc>
          <w:tcPr>
            <w:tcW w:w="1620" w:type="dxa"/>
            <w:shd w:val="pct5" w:color="auto" w:fill="auto"/>
          </w:tcPr>
          <w:p w14:paraId="5F3CA48A" w14:textId="6AC00515" w:rsidR="00EF0EC8" w:rsidRDefault="00EF0EC8" w:rsidP="002A1801">
            <w:pPr>
              <w:jc w:val="center"/>
            </w:pPr>
            <w:r>
              <w:t>Post-tax (Total)</w:t>
            </w:r>
          </w:p>
        </w:tc>
      </w:tr>
      <w:tr w:rsidR="00EF0EC8" w14:paraId="7009177D" w14:textId="77777777" w:rsidTr="00EF0EC8">
        <w:tc>
          <w:tcPr>
            <w:tcW w:w="2065" w:type="dxa"/>
          </w:tcPr>
          <w:p w14:paraId="10DAA8AD" w14:textId="75648FE0" w:rsidR="00EF0EC8" w:rsidRDefault="00EF0EC8" w:rsidP="002A1801">
            <w:r>
              <w:t>1. Lowest income</w:t>
            </w:r>
          </w:p>
          <w:p w14:paraId="2F85BB35" w14:textId="7EECF594" w:rsidR="00EF0EC8" w:rsidRDefault="00EF0EC8" w:rsidP="002A1801">
            <w:r>
              <w:t>2. Low income</w:t>
            </w:r>
          </w:p>
          <w:p w14:paraId="386BA93C" w14:textId="12F0D94A" w:rsidR="00EF0EC8" w:rsidRDefault="00EF0EC8" w:rsidP="002A1801">
            <w:r>
              <w:t>3. Middle income</w:t>
            </w:r>
          </w:p>
          <w:p w14:paraId="1548397E" w14:textId="13C4DEAC" w:rsidR="00EF0EC8" w:rsidRDefault="00EF0EC8" w:rsidP="002A1801">
            <w:r>
              <w:t>4. High income</w:t>
            </w:r>
          </w:p>
          <w:p w14:paraId="0ED25052" w14:textId="2CF059AC" w:rsidR="00EF0EC8" w:rsidRDefault="00EF0EC8" w:rsidP="00EF0EC8">
            <w:r>
              <w:t>5. Highest income</w:t>
            </w:r>
          </w:p>
        </w:tc>
        <w:tc>
          <w:tcPr>
            <w:tcW w:w="1260" w:type="dxa"/>
          </w:tcPr>
          <w:p w14:paraId="35602073" w14:textId="21A1B256" w:rsidR="00EF0EC8" w:rsidRDefault="00FA1CCD" w:rsidP="002A1801">
            <w:pPr>
              <w:jc w:val="right"/>
            </w:pPr>
            <w:r>
              <w:t>8.16</w:t>
            </w:r>
          </w:p>
          <w:p w14:paraId="53435ED7" w14:textId="68447D63" w:rsidR="00FA1CCD" w:rsidRDefault="00FA1CCD" w:rsidP="002A1801">
            <w:pPr>
              <w:jc w:val="right"/>
            </w:pPr>
            <w:r>
              <w:t>12.17</w:t>
            </w:r>
          </w:p>
          <w:p w14:paraId="43C99A45" w14:textId="44D85F41" w:rsidR="00EF0EC8" w:rsidRDefault="00FA1CCD" w:rsidP="002A1801">
            <w:pPr>
              <w:jc w:val="right"/>
            </w:pPr>
            <w:r>
              <w:t>16.26</w:t>
            </w:r>
          </w:p>
          <w:p w14:paraId="220ACF97" w14:textId="77777777" w:rsidR="00EF0EC8" w:rsidRDefault="00FA1CCD" w:rsidP="002A1801">
            <w:pPr>
              <w:jc w:val="right"/>
            </w:pPr>
            <w:r>
              <w:t>21.91</w:t>
            </w:r>
          </w:p>
          <w:p w14:paraId="28300F47" w14:textId="13CA9306" w:rsidR="00FA1CCD" w:rsidRDefault="00FA1CCD" w:rsidP="002A1801">
            <w:pPr>
              <w:jc w:val="right"/>
            </w:pPr>
            <w:r>
              <w:t>41.48</w:t>
            </w:r>
          </w:p>
        </w:tc>
        <w:tc>
          <w:tcPr>
            <w:tcW w:w="1440" w:type="dxa"/>
          </w:tcPr>
          <w:p w14:paraId="01FC423E" w14:textId="77777777" w:rsidR="00EF0EC8" w:rsidRDefault="00D9097F" w:rsidP="0050269C">
            <w:pPr>
              <w:jc w:val="right"/>
            </w:pPr>
            <w:r>
              <w:t>8.70</w:t>
            </w:r>
          </w:p>
          <w:p w14:paraId="3E8DD4ED" w14:textId="77777777" w:rsidR="00D9097F" w:rsidRDefault="00D9097F" w:rsidP="0050269C">
            <w:pPr>
              <w:jc w:val="right"/>
            </w:pPr>
            <w:r>
              <w:t>13.03</w:t>
            </w:r>
          </w:p>
          <w:p w14:paraId="280E4A42" w14:textId="77777777" w:rsidR="00D9097F" w:rsidRDefault="00D9097F" w:rsidP="0050269C">
            <w:pPr>
              <w:jc w:val="right"/>
            </w:pPr>
            <w:r>
              <w:t>16.26</w:t>
            </w:r>
          </w:p>
          <w:p w14:paraId="0645FE66" w14:textId="77777777" w:rsidR="00D9097F" w:rsidRDefault="00D9097F" w:rsidP="0050269C">
            <w:pPr>
              <w:jc w:val="right"/>
            </w:pPr>
            <w:r>
              <w:t>22.05</w:t>
            </w:r>
          </w:p>
          <w:p w14:paraId="74962C5F" w14:textId="27E24EB6" w:rsidR="00D9097F" w:rsidRDefault="00D9097F" w:rsidP="0050269C">
            <w:pPr>
              <w:jc w:val="right"/>
            </w:pPr>
            <w:r>
              <w:t>39.96</w:t>
            </w:r>
          </w:p>
        </w:tc>
        <w:tc>
          <w:tcPr>
            <w:tcW w:w="1350" w:type="dxa"/>
          </w:tcPr>
          <w:p w14:paraId="19D8E54E" w14:textId="77777777" w:rsidR="00EF0EC8" w:rsidRDefault="00D9097F" w:rsidP="002A1801">
            <w:pPr>
              <w:jc w:val="right"/>
            </w:pPr>
            <w:r>
              <w:t>7.81</w:t>
            </w:r>
          </w:p>
          <w:p w14:paraId="5C585BBA" w14:textId="77777777" w:rsidR="00D9097F" w:rsidRDefault="00D9097F" w:rsidP="002A1801">
            <w:pPr>
              <w:jc w:val="right"/>
            </w:pPr>
            <w:r>
              <w:t>11.99</w:t>
            </w:r>
          </w:p>
          <w:p w14:paraId="2ABA7E77" w14:textId="77777777" w:rsidR="00D9097F" w:rsidRDefault="00D9097F" w:rsidP="002A1801">
            <w:pPr>
              <w:jc w:val="right"/>
            </w:pPr>
            <w:r>
              <w:t>15.83</w:t>
            </w:r>
          </w:p>
          <w:p w14:paraId="40B3446F" w14:textId="77777777" w:rsidR="00D9097F" w:rsidRDefault="00D9097F" w:rsidP="002A1801">
            <w:pPr>
              <w:jc w:val="right"/>
            </w:pPr>
            <w:r>
              <w:t>22.22</w:t>
            </w:r>
          </w:p>
          <w:p w14:paraId="20A59981" w14:textId="391F762B" w:rsidR="00D9097F" w:rsidRDefault="00D9097F" w:rsidP="002A1801">
            <w:pPr>
              <w:jc w:val="right"/>
            </w:pPr>
            <w:r>
              <w:t>42.14</w:t>
            </w:r>
          </w:p>
        </w:tc>
        <w:tc>
          <w:tcPr>
            <w:tcW w:w="1620" w:type="dxa"/>
          </w:tcPr>
          <w:p w14:paraId="07052C9C" w14:textId="77777777" w:rsidR="00EF0EC8" w:rsidRDefault="00D9097F" w:rsidP="002A1801">
            <w:pPr>
              <w:jc w:val="right"/>
            </w:pPr>
            <w:r>
              <w:t>7.68</w:t>
            </w:r>
          </w:p>
          <w:p w14:paraId="7D1597ED" w14:textId="77777777" w:rsidR="00D9097F" w:rsidRDefault="00D9097F" w:rsidP="002A1801">
            <w:pPr>
              <w:jc w:val="right"/>
            </w:pPr>
            <w:r>
              <w:t>11.93</w:t>
            </w:r>
          </w:p>
          <w:p w14:paraId="7F5FD779" w14:textId="77777777" w:rsidR="00D9097F" w:rsidRDefault="00D9097F" w:rsidP="002A1801">
            <w:pPr>
              <w:jc w:val="right"/>
            </w:pPr>
            <w:r>
              <w:t>15.67</w:t>
            </w:r>
          </w:p>
          <w:p w14:paraId="424C3580" w14:textId="77777777" w:rsidR="00D9097F" w:rsidRDefault="00D9097F" w:rsidP="002A1801">
            <w:pPr>
              <w:jc w:val="right"/>
            </w:pPr>
            <w:r>
              <w:t>22.33</w:t>
            </w:r>
          </w:p>
          <w:p w14:paraId="047A9DEB" w14:textId="5DFF0FCF" w:rsidR="00D9097F" w:rsidRDefault="00D9097F" w:rsidP="002A1801">
            <w:pPr>
              <w:jc w:val="right"/>
            </w:pPr>
            <w:r>
              <w:t>42.39</w:t>
            </w:r>
          </w:p>
        </w:tc>
        <w:tc>
          <w:tcPr>
            <w:tcW w:w="1620" w:type="dxa"/>
          </w:tcPr>
          <w:p w14:paraId="1D0E5F87" w14:textId="77777777" w:rsidR="00EF0EC8" w:rsidRDefault="00D9097F" w:rsidP="002A1801">
            <w:pPr>
              <w:jc w:val="right"/>
            </w:pPr>
            <w:r>
              <w:t>7.83</w:t>
            </w:r>
          </w:p>
          <w:p w14:paraId="299CCD0C" w14:textId="77777777" w:rsidR="00D9097F" w:rsidRDefault="00D9097F" w:rsidP="002A1801">
            <w:pPr>
              <w:jc w:val="right"/>
            </w:pPr>
            <w:r>
              <w:t>12.95</w:t>
            </w:r>
          </w:p>
          <w:p w14:paraId="7B5EBD47" w14:textId="77777777" w:rsidR="00D9097F" w:rsidRDefault="00D9097F" w:rsidP="002A1801">
            <w:pPr>
              <w:jc w:val="right"/>
            </w:pPr>
            <w:r>
              <w:t>14.80</w:t>
            </w:r>
          </w:p>
          <w:p w14:paraId="46AD26F8" w14:textId="77777777" w:rsidR="00D9097F" w:rsidRDefault="00D9097F" w:rsidP="002A1801">
            <w:pPr>
              <w:jc w:val="right"/>
            </w:pPr>
            <w:r>
              <w:t>23.10</w:t>
            </w:r>
          </w:p>
          <w:p w14:paraId="5E0041DD" w14:textId="17A5FA4A" w:rsidR="00D9097F" w:rsidRDefault="00D9097F" w:rsidP="002A1801">
            <w:pPr>
              <w:jc w:val="right"/>
            </w:pPr>
            <w:r>
              <w:t>41.32</w:t>
            </w:r>
          </w:p>
        </w:tc>
      </w:tr>
      <w:tr w:rsidR="00EF0EC8" w14:paraId="379647BC" w14:textId="77777777" w:rsidTr="00EF0EC8">
        <w:tc>
          <w:tcPr>
            <w:tcW w:w="2065" w:type="dxa"/>
          </w:tcPr>
          <w:p w14:paraId="27D71B2F" w14:textId="7BBCDE38" w:rsidR="00EF0EC8" w:rsidRDefault="00EF0EC8" w:rsidP="002A1801">
            <w:pPr>
              <w:jc w:val="both"/>
            </w:pPr>
            <w:r>
              <w:t>Total</w:t>
            </w:r>
          </w:p>
        </w:tc>
        <w:tc>
          <w:tcPr>
            <w:tcW w:w="1260" w:type="dxa"/>
          </w:tcPr>
          <w:p w14:paraId="023AAED2" w14:textId="3A16168E" w:rsidR="00EF0EC8" w:rsidRDefault="00FA1CCD" w:rsidP="002A1801">
            <w:pPr>
              <w:jc w:val="right"/>
            </w:pPr>
            <w:r>
              <w:t>100.00</w:t>
            </w:r>
          </w:p>
        </w:tc>
        <w:tc>
          <w:tcPr>
            <w:tcW w:w="1440" w:type="dxa"/>
          </w:tcPr>
          <w:p w14:paraId="2051727A" w14:textId="7F097EB2" w:rsidR="00EF0EC8" w:rsidRDefault="00D9097F" w:rsidP="002A1801">
            <w:pPr>
              <w:jc w:val="right"/>
            </w:pPr>
            <w:r>
              <w:t>100.00</w:t>
            </w:r>
          </w:p>
        </w:tc>
        <w:tc>
          <w:tcPr>
            <w:tcW w:w="1350" w:type="dxa"/>
          </w:tcPr>
          <w:p w14:paraId="6FA17109" w14:textId="1EC77E54" w:rsidR="00EF0EC8" w:rsidRDefault="00D9097F" w:rsidP="002A1801">
            <w:pPr>
              <w:jc w:val="right"/>
            </w:pPr>
            <w:r>
              <w:t>100.00</w:t>
            </w:r>
          </w:p>
        </w:tc>
        <w:tc>
          <w:tcPr>
            <w:tcW w:w="1620" w:type="dxa"/>
          </w:tcPr>
          <w:p w14:paraId="1F7A5863" w14:textId="2B785713" w:rsidR="00EF0EC8" w:rsidRDefault="00D9097F" w:rsidP="002A1801">
            <w:pPr>
              <w:jc w:val="right"/>
            </w:pPr>
            <w:r>
              <w:t>100.00</w:t>
            </w:r>
          </w:p>
        </w:tc>
        <w:tc>
          <w:tcPr>
            <w:tcW w:w="1620" w:type="dxa"/>
          </w:tcPr>
          <w:p w14:paraId="339D9A05" w14:textId="22405A67" w:rsidR="00EF0EC8" w:rsidRDefault="00D9097F" w:rsidP="002A1801">
            <w:pPr>
              <w:jc w:val="right"/>
            </w:pPr>
            <w:r>
              <w:t>100.00</w:t>
            </w:r>
          </w:p>
        </w:tc>
      </w:tr>
      <w:tr w:rsidR="00EF0EC8" w14:paraId="785D4B25" w14:textId="77777777" w:rsidTr="00EF0EC8">
        <w:tc>
          <w:tcPr>
            <w:tcW w:w="2065" w:type="dxa"/>
          </w:tcPr>
          <w:p w14:paraId="65174F29" w14:textId="2E18B225" w:rsidR="00EF0EC8" w:rsidRDefault="00EF0EC8" w:rsidP="002A1801">
            <w:pPr>
              <w:jc w:val="both"/>
            </w:pPr>
            <w:r>
              <w:t>Gini Coefficient</w:t>
            </w:r>
          </w:p>
        </w:tc>
        <w:tc>
          <w:tcPr>
            <w:tcW w:w="1260" w:type="dxa"/>
          </w:tcPr>
          <w:p w14:paraId="4A44C4EA" w14:textId="7C6C27E3" w:rsidR="00EF0EC8" w:rsidRDefault="00FA1CCD" w:rsidP="002A1801">
            <w:pPr>
              <w:jc w:val="right"/>
            </w:pPr>
            <w:r>
              <w:t>0.3058</w:t>
            </w:r>
          </w:p>
        </w:tc>
        <w:tc>
          <w:tcPr>
            <w:tcW w:w="1440" w:type="dxa"/>
          </w:tcPr>
          <w:p w14:paraId="4B4329DC" w14:textId="261B45DD" w:rsidR="00EF0EC8" w:rsidRDefault="006F34BB" w:rsidP="002A1801">
            <w:pPr>
              <w:jc w:val="right"/>
            </w:pPr>
            <w:r>
              <w:t>0.2862</w:t>
            </w:r>
          </w:p>
        </w:tc>
        <w:tc>
          <w:tcPr>
            <w:tcW w:w="1350" w:type="dxa"/>
          </w:tcPr>
          <w:p w14:paraId="6AA9C97E" w14:textId="7F53ED79" w:rsidR="00EF0EC8" w:rsidRDefault="006F34BB" w:rsidP="002A1801">
            <w:pPr>
              <w:jc w:val="right"/>
            </w:pPr>
            <w:r>
              <w:t>0.3156</w:t>
            </w:r>
          </w:p>
        </w:tc>
        <w:tc>
          <w:tcPr>
            <w:tcW w:w="1620" w:type="dxa"/>
          </w:tcPr>
          <w:p w14:paraId="0EA3C82F" w14:textId="51CA3204" w:rsidR="00EF0EC8" w:rsidRDefault="006F34BB" w:rsidP="002A1801">
            <w:pPr>
              <w:jc w:val="right"/>
            </w:pPr>
            <w:r>
              <w:t>0.3193</w:t>
            </w:r>
          </w:p>
        </w:tc>
        <w:tc>
          <w:tcPr>
            <w:tcW w:w="1620" w:type="dxa"/>
          </w:tcPr>
          <w:p w14:paraId="3C436BA5" w14:textId="54EDB56B" w:rsidR="00EF0EC8" w:rsidRDefault="006F34BB" w:rsidP="002A1801">
            <w:pPr>
              <w:jc w:val="right"/>
            </w:pPr>
            <w:r>
              <w:t>0.3085</w:t>
            </w:r>
          </w:p>
        </w:tc>
      </w:tr>
    </w:tbl>
    <w:p w14:paraId="1E9067E4" w14:textId="636A9A7B" w:rsidR="00267F72" w:rsidRDefault="00267F72" w:rsidP="00AE3DBB">
      <w:pPr>
        <w:rPr>
          <w:b/>
          <w:bCs/>
          <w:sz w:val="32"/>
          <w:szCs w:val="32"/>
        </w:rPr>
      </w:pPr>
    </w:p>
    <w:p w14:paraId="708FD9E8" w14:textId="2BCEDF57" w:rsidR="005D3AF5" w:rsidRDefault="005D3AF5" w:rsidP="005D3AF5">
      <w:pPr>
        <w:jc w:val="both"/>
      </w:pPr>
      <w:r>
        <w:t>We can calculate post-tax income distribution by using the following formular:</w:t>
      </w:r>
    </w:p>
    <w:p w14:paraId="122EE333" w14:textId="77777777" w:rsidR="005D3AF5" w:rsidRDefault="005D3AF5" w:rsidP="005D3AF5">
      <w:pPr>
        <w:jc w:val="both"/>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3137"/>
        <w:gridCol w:w="490"/>
        <w:gridCol w:w="2561"/>
        <w:gridCol w:w="296"/>
        <w:gridCol w:w="2866"/>
      </w:tblGrid>
      <w:tr w:rsidR="005D3AF5" w14:paraId="61F3A8E3" w14:textId="77777777" w:rsidTr="005D3AF5">
        <w:trPr>
          <w:jc w:val="center"/>
        </w:trPr>
        <w:tc>
          <w:tcPr>
            <w:tcW w:w="3145" w:type="dxa"/>
          </w:tcPr>
          <w:p w14:paraId="58A1B8B9" w14:textId="08071549" w:rsidR="005D3AF5" w:rsidRDefault="005D3AF5" w:rsidP="005D3AF5">
            <w:pPr>
              <w:jc w:val="both"/>
            </w:pPr>
            <w:r>
              <w:t>Household’s income of each income class after tax</w:t>
            </w:r>
          </w:p>
        </w:tc>
        <w:tc>
          <w:tcPr>
            <w:tcW w:w="491" w:type="dxa"/>
          </w:tcPr>
          <w:p w14:paraId="4F387BFB" w14:textId="12C83D0E" w:rsidR="005D3AF5" w:rsidRDefault="005D3AF5" w:rsidP="005D3AF5">
            <w:pPr>
              <w:jc w:val="both"/>
            </w:pPr>
            <w:r>
              <w:t>=</w:t>
            </w:r>
          </w:p>
        </w:tc>
        <w:tc>
          <w:tcPr>
            <w:tcW w:w="2569" w:type="dxa"/>
          </w:tcPr>
          <w:p w14:paraId="44F91FCE" w14:textId="26DB0A05" w:rsidR="005D3AF5" w:rsidRDefault="005D3AF5" w:rsidP="005D3AF5">
            <w:pPr>
              <w:jc w:val="both"/>
            </w:pPr>
            <w:r>
              <w:t>Total income of each income class</w:t>
            </w:r>
          </w:p>
        </w:tc>
        <w:tc>
          <w:tcPr>
            <w:tcW w:w="270" w:type="dxa"/>
          </w:tcPr>
          <w:p w14:paraId="2445F096" w14:textId="3C1C23AE" w:rsidR="005D3AF5" w:rsidRDefault="005D3AF5" w:rsidP="005D3AF5">
            <w:pPr>
              <w:jc w:val="both"/>
            </w:pPr>
            <w:r>
              <w:t>-</w:t>
            </w:r>
          </w:p>
        </w:tc>
        <w:tc>
          <w:tcPr>
            <w:tcW w:w="2875" w:type="dxa"/>
          </w:tcPr>
          <w:p w14:paraId="2A2B80A9" w14:textId="1E919717" w:rsidR="005D3AF5" w:rsidRDefault="005D3AF5" w:rsidP="005D3AF5">
            <w:pPr>
              <w:jc w:val="both"/>
            </w:pPr>
            <w:r>
              <w:t>Taxes paid by each income class</w:t>
            </w:r>
          </w:p>
        </w:tc>
      </w:tr>
    </w:tbl>
    <w:p w14:paraId="3A5ACED8" w14:textId="77777777" w:rsidR="005D3AF5" w:rsidRDefault="005D3AF5" w:rsidP="005D3AF5">
      <w:pPr>
        <w:jc w:val="both"/>
      </w:pPr>
    </w:p>
    <w:p w14:paraId="7D6964FE" w14:textId="32BCD9CC" w:rsidR="005D3AF5" w:rsidRDefault="005D3AF5" w:rsidP="005D3AF5">
      <w:pPr>
        <w:jc w:val="both"/>
      </w:pPr>
      <w:r>
        <w:t>Whereas:</w:t>
      </w:r>
    </w:p>
    <w:p w14:paraId="4F5464C6" w14:textId="77777777" w:rsidR="005D3AF5" w:rsidRDefault="005D3AF5" w:rsidP="005D3AF5">
      <w:pPr>
        <w:jc w:val="both"/>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3119"/>
        <w:gridCol w:w="489"/>
        <w:gridCol w:w="2550"/>
        <w:gridCol w:w="336"/>
        <w:gridCol w:w="2856"/>
      </w:tblGrid>
      <w:tr w:rsidR="005D3AF5" w14:paraId="2F489415" w14:textId="77777777" w:rsidTr="002A1801">
        <w:trPr>
          <w:jc w:val="center"/>
        </w:trPr>
        <w:tc>
          <w:tcPr>
            <w:tcW w:w="3145" w:type="dxa"/>
          </w:tcPr>
          <w:p w14:paraId="21D2CA1D" w14:textId="6DA76B31" w:rsidR="005D3AF5" w:rsidRDefault="005D3AF5" w:rsidP="002A1801">
            <w:pPr>
              <w:jc w:val="both"/>
            </w:pPr>
            <w:r>
              <w:t>Total income of each income class</w:t>
            </w:r>
          </w:p>
        </w:tc>
        <w:tc>
          <w:tcPr>
            <w:tcW w:w="491" w:type="dxa"/>
          </w:tcPr>
          <w:p w14:paraId="2EA0895D" w14:textId="77777777" w:rsidR="005D3AF5" w:rsidRDefault="005D3AF5" w:rsidP="002A1801">
            <w:pPr>
              <w:jc w:val="both"/>
            </w:pPr>
            <w:r>
              <w:t>=</w:t>
            </w:r>
          </w:p>
        </w:tc>
        <w:tc>
          <w:tcPr>
            <w:tcW w:w="2569" w:type="dxa"/>
          </w:tcPr>
          <w:p w14:paraId="5FC2828F" w14:textId="7A0D7FE8" w:rsidR="005D3AF5" w:rsidRDefault="005D3AF5" w:rsidP="002A1801">
            <w:pPr>
              <w:jc w:val="both"/>
            </w:pPr>
            <w:r>
              <w:t>Total income per year of each income class</w:t>
            </w:r>
          </w:p>
        </w:tc>
        <w:tc>
          <w:tcPr>
            <w:tcW w:w="270" w:type="dxa"/>
          </w:tcPr>
          <w:p w14:paraId="4417969E" w14:textId="20716069" w:rsidR="005D3AF5" w:rsidRDefault="005D3AF5" w:rsidP="002A1801">
            <w:pPr>
              <w:jc w:val="both"/>
            </w:pPr>
            <w:r>
              <w:t>x</w:t>
            </w:r>
          </w:p>
        </w:tc>
        <w:tc>
          <w:tcPr>
            <w:tcW w:w="2875" w:type="dxa"/>
          </w:tcPr>
          <w:p w14:paraId="57FA101A" w14:textId="7EBCA00B" w:rsidR="005D3AF5" w:rsidRDefault="005D3AF5" w:rsidP="002A1801">
            <w:pPr>
              <w:jc w:val="both"/>
            </w:pPr>
            <w:r>
              <w:t>Total amount of household in each income class</w:t>
            </w:r>
          </w:p>
        </w:tc>
      </w:tr>
    </w:tbl>
    <w:p w14:paraId="7F680A18" w14:textId="77777777" w:rsidR="005D3AF5" w:rsidRDefault="005D3AF5" w:rsidP="005D3AF5">
      <w:pPr>
        <w:jc w:val="both"/>
      </w:pPr>
    </w:p>
    <w:p w14:paraId="2554CC0B" w14:textId="6DD82070" w:rsidR="005D3AF5" w:rsidRDefault="005D3AF5" w:rsidP="005D3AF5">
      <w:pPr>
        <w:jc w:val="both"/>
      </w:pPr>
      <w:r>
        <w:t>And we can calculate Gini coefficient as follows:</w:t>
      </w:r>
    </w:p>
    <w:p w14:paraId="66769251" w14:textId="77777777" w:rsidR="005D3AF5" w:rsidRDefault="005D3AF5" w:rsidP="005D3AF5">
      <w:pPr>
        <w:jc w:val="both"/>
      </w:pPr>
    </w:p>
    <w:p w14:paraId="176161ED" w14:textId="583D5883" w:rsidR="005D3AF5" w:rsidRDefault="005D3AF5" w:rsidP="005D3AF5">
      <w:pPr>
        <w:pBdr>
          <w:top w:val="single" w:sz="4" w:space="1" w:color="auto"/>
          <w:left w:val="single" w:sz="4" w:space="4" w:color="auto"/>
          <w:bottom w:val="single" w:sz="4" w:space="1" w:color="auto"/>
          <w:right w:val="single" w:sz="4" w:space="4" w:color="auto"/>
        </w:pBdr>
        <w:jc w:val="center"/>
      </w:pPr>
      <w:r>
        <w:t xml:space="preserve">GINI = </w:t>
      </w:r>
      <m:oMath>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oMath>
      <w:r>
        <w:t xml:space="preserve"> – 2[ </w:t>
      </w:r>
      <m:oMath>
        <m:f>
          <m:fPr>
            <m:ctrlPr>
              <w:rPr>
                <w:rFonts w:ascii="Cambria Math" w:hAnsi="Cambria Math"/>
                <w:i/>
              </w:rPr>
            </m:ctrlPr>
          </m:fPr>
          <m:num>
            <m:r>
              <w:rPr>
                <w:rFonts w:ascii="Cambria Math" w:hAnsi="Cambria Math"/>
              </w:rPr>
              <m:t>NX</m:t>
            </m:r>
            <m:r>
              <w:rPr>
                <w:rFonts w:ascii="Cambria Math" w:hAnsi="Cambria Math"/>
                <w:vertAlign w:val="subscript"/>
              </w:rPr>
              <m:t>1</m:t>
            </m:r>
            <m:r>
              <w:rPr>
                <w:rFonts w:ascii="Cambria Math" w:hAnsi="Cambria Math"/>
              </w:rPr>
              <m:t>+</m:t>
            </m:r>
            <m:d>
              <m:dPr>
                <m:ctrlPr>
                  <w:rPr>
                    <w:rFonts w:ascii="Cambria Math" w:hAnsi="Cambria Math"/>
                    <w:i/>
                  </w:rPr>
                </m:ctrlPr>
              </m:dPr>
              <m:e>
                <m:r>
                  <w:rPr>
                    <w:rFonts w:ascii="Cambria Math" w:hAnsi="Cambria Math"/>
                  </w:rPr>
                  <m:t>N-1</m:t>
                </m:r>
              </m:e>
            </m:d>
            <m:r>
              <w:rPr>
                <w:rFonts w:ascii="Cambria Math" w:hAnsi="Cambria Math"/>
              </w:rPr>
              <m:t>x2+…+2Xn-1+xn</m:t>
            </m:r>
          </m:num>
          <m:den>
            <m:r>
              <w:rPr>
                <w:rFonts w:ascii="Cambria Math" w:hAnsi="Cambria Math"/>
              </w:rPr>
              <m:t>NX</m:t>
            </m:r>
          </m:den>
        </m:f>
        <m:r>
          <w:rPr>
            <w:rFonts w:ascii="Cambria Math" w:hAnsi="Cambria Math"/>
          </w:rPr>
          <m:t>]</m:t>
        </m:r>
      </m:oMath>
    </w:p>
    <w:p w14:paraId="59A78208" w14:textId="77777777" w:rsidR="005D3AF5" w:rsidRDefault="005D3AF5" w:rsidP="005D3AF5">
      <w:pPr>
        <w:jc w:val="both"/>
      </w:pPr>
    </w:p>
    <w:p w14:paraId="65FA75EF" w14:textId="0ECB58F4" w:rsidR="00267F72" w:rsidRPr="00C27C93" w:rsidRDefault="005D3AF5" w:rsidP="00C27C93">
      <w:pPr>
        <w:jc w:val="both"/>
      </w:pPr>
      <w:r>
        <w:t>From table 5, we can see that, according to Gini Coefficient, the income distribution after tax (Post-tax) is worse than before tax (pre-tax), albeit slightly, it means that the budget policy implemented in this country is not progressive, neither to pro-poor.</w:t>
      </w:r>
    </w:p>
    <w:p w14:paraId="7361BAA2" w14:textId="77777777" w:rsidR="00C70158" w:rsidRDefault="00C70158" w:rsidP="00AE3DBB"/>
    <w:p w14:paraId="2A361ABF" w14:textId="77777777" w:rsidR="00BE0A26" w:rsidRDefault="00BE0A26" w:rsidP="00AE3DBB">
      <w:pPr>
        <w:rPr>
          <w:b/>
          <w:bCs/>
          <w:sz w:val="32"/>
          <w:szCs w:val="32"/>
        </w:rPr>
      </w:pPr>
    </w:p>
    <w:p w14:paraId="1AFF06B6" w14:textId="76AC7139" w:rsidR="00FF535C" w:rsidRPr="00B55EAB" w:rsidRDefault="00B55EAB" w:rsidP="00AE3DBB">
      <w:pPr>
        <w:rPr>
          <w:b/>
          <w:bCs/>
          <w:sz w:val="32"/>
          <w:szCs w:val="32"/>
        </w:rPr>
      </w:pPr>
      <w:r>
        <w:rPr>
          <w:b/>
          <w:bCs/>
          <w:sz w:val="32"/>
          <w:szCs w:val="32"/>
        </w:rPr>
        <w:t xml:space="preserve">7. </w:t>
      </w:r>
      <w:r w:rsidR="00A30FDE">
        <w:rPr>
          <w:b/>
          <w:bCs/>
          <w:sz w:val="32"/>
          <w:szCs w:val="32"/>
        </w:rPr>
        <w:t xml:space="preserve">Conclusion and </w:t>
      </w:r>
      <w:r>
        <w:rPr>
          <w:b/>
          <w:bCs/>
          <w:sz w:val="32"/>
          <w:szCs w:val="32"/>
        </w:rPr>
        <w:t>Policy Recommendation</w:t>
      </w:r>
    </w:p>
    <w:p w14:paraId="44B132E8" w14:textId="30815BB0" w:rsidR="00FF535C" w:rsidRDefault="00FF535C" w:rsidP="00AE3DBB"/>
    <w:p w14:paraId="77401939" w14:textId="55B2A99F" w:rsidR="00F17386" w:rsidRDefault="004A292E" w:rsidP="004A292E">
      <w:pPr>
        <w:jc w:val="both"/>
        <w:rPr>
          <w:rFonts w:eastAsia="Times New Roman" w:cs="Times New Roman"/>
        </w:rPr>
      </w:pPr>
      <w:r>
        <w:tab/>
      </w:r>
      <w:r w:rsidR="000F2533">
        <w:t xml:space="preserve">The policymaker in this country should extend tax base more on </w:t>
      </w:r>
      <w:r w:rsidR="00C27C93">
        <w:t>inheritance tax</w:t>
      </w:r>
      <w:r>
        <w:rPr>
          <w:rFonts w:eastAsia="Times New Roman" w:cs="Times New Roman"/>
        </w:rPr>
        <w:t>.</w:t>
      </w:r>
      <w:r w:rsidR="00C27C93">
        <w:rPr>
          <w:rFonts w:eastAsia="Times New Roman" w:cs="Times New Roman"/>
        </w:rPr>
        <w:t xml:space="preserve"> It should consider to collect tax from capital gains tax or tax from profits in selling stock and bond either. These kinds of taxes cannot easily be shifted to somebody else out of the tax payer’s obligation. In order to reduce a shift of corporate income tax to the consumers, found mostly in developing countries, we need to think about making a market condition to be more competitiveness. Mostly, this can be done via strengthening </w:t>
      </w:r>
      <w:r w:rsidR="00805096">
        <w:rPr>
          <w:rFonts w:eastAsia="Times New Roman" w:cs="Times New Roman"/>
        </w:rPr>
        <w:t xml:space="preserve">via mechanism of trade competition commission, in which they can enforce some rule to business actor to make more competition in the market, or even to break </w:t>
      </w:r>
      <w:r w:rsidR="003C01E6">
        <w:rPr>
          <w:rFonts w:eastAsia="Times New Roman" w:cs="Times New Roman"/>
        </w:rPr>
        <w:t xml:space="preserve">up </w:t>
      </w:r>
      <w:r w:rsidR="00805096">
        <w:rPr>
          <w:rFonts w:eastAsia="Times New Roman" w:cs="Times New Roman"/>
        </w:rPr>
        <w:t xml:space="preserve">it </w:t>
      </w:r>
      <w:r w:rsidR="003C01E6">
        <w:rPr>
          <w:rFonts w:eastAsia="Times New Roman" w:cs="Times New Roman"/>
        </w:rPr>
        <w:t>into smaller entities as found in an attempt to break up monopoly hold by Bell System into “Baby Bells” since after January 1, 1984 in the US</w:t>
      </w:r>
      <w:r w:rsidR="00C27C93">
        <w:rPr>
          <w:rFonts w:eastAsia="Times New Roman" w:cs="Times New Roman"/>
        </w:rPr>
        <w:t>.</w:t>
      </w:r>
      <w:r w:rsidR="003C01E6">
        <w:rPr>
          <w:rFonts w:eastAsia="Times New Roman" w:cs="Times New Roman"/>
        </w:rPr>
        <w:t xml:space="preserve"> However, to consider to implement this kind of competitive market policy is not easy. In reality, according to political economy, most big enterprises tend to send their representatives into the board commission on their own and trying to object any attempt to ease the monopoly. This, I’d found on my own experience when I’d conducted a research on an SMS in the telecom commission. I found that the representative from almost all telecom enterprise would make a discussion behind the scene and found the cartel. A mechanism to raise a regulatory license fee to keep state income and making distribution later via public expenditure in project such as a subsidy for easing digital divide may also help.</w:t>
      </w:r>
    </w:p>
    <w:p w14:paraId="1C4B4552" w14:textId="77777777" w:rsidR="00D65DB4" w:rsidRDefault="00D65DB4" w:rsidP="004A292E">
      <w:pPr>
        <w:jc w:val="both"/>
        <w:rPr>
          <w:rFonts w:eastAsia="Times New Roman" w:cs="Times New Roman"/>
        </w:rPr>
      </w:pPr>
    </w:p>
    <w:p w14:paraId="0EAF2186" w14:textId="1CBB7AA1" w:rsidR="00D65DB4" w:rsidRPr="00F17386" w:rsidRDefault="00D65DB4" w:rsidP="004A292E">
      <w:pPr>
        <w:jc w:val="both"/>
        <w:rPr>
          <w:rFonts w:eastAsia="Times New Roman" w:cs="Times New Roman"/>
        </w:rPr>
      </w:pPr>
      <w:r>
        <w:rPr>
          <w:rFonts w:eastAsia="Times New Roman" w:cs="Times New Roman"/>
        </w:rPr>
        <w:tab/>
        <w:t>In order to reduce regression problem in VAT, we may categorize low rate VAT for general consumption goods, while high rate VAT for luxurious goods.</w:t>
      </w:r>
      <w:bookmarkStart w:id="1" w:name="_GoBack"/>
      <w:bookmarkEnd w:id="1"/>
    </w:p>
    <w:p w14:paraId="02F4FB00" w14:textId="77777777" w:rsidR="004A292E" w:rsidRDefault="004A292E" w:rsidP="00AE3DBB"/>
    <w:p w14:paraId="02A26E8C" w14:textId="77777777" w:rsidR="006E2F2A" w:rsidRDefault="006E2F2A" w:rsidP="00AE3DBB"/>
    <w:p w14:paraId="046731AD" w14:textId="49F595D1" w:rsidR="00B55EAB" w:rsidRPr="00B55EAB" w:rsidRDefault="00B55EAB" w:rsidP="00B55EAB">
      <w:pPr>
        <w:rPr>
          <w:b/>
          <w:bCs/>
          <w:sz w:val="32"/>
          <w:szCs w:val="32"/>
        </w:rPr>
      </w:pPr>
      <w:r>
        <w:rPr>
          <w:b/>
          <w:bCs/>
          <w:sz w:val="32"/>
          <w:szCs w:val="32"/>
        </w:rPr>
        <w:t>8. References</w:t>
      </w:r>
    </w:p>
    <w:p w14:paraId="4E60877A" w14:textId="77777777" w:rsidR="00D54B77" w:rsidRDefault="00D54B77" w:rsidP="00D54B77">
      <w:pPr>
        <w:ind w:left="720" w:hanging="720"/>
        <w:jc w:val="both"/>
      </w:pPr>
    </w:p>
    <w:p w14:paraId="53109B78" w14:textId="683A3194" w:rsidR="00FF535C" w:rsidRDefault="00D54B77" w:rsidP="00D54B77">
      <w:pPr>
        <w:ind w:left="720" w:hanging="720"/>
        <w:jc w:val="both"/>
      </w:pPr>
      <w:r>
        <w:t>Krongkaew, M. (1979). The Distributive Impact of Government’s Policies: An Assessment of The Situation in Thailand. Faculty of Economics, Thammasat University. Bangkok, Thailand.</w:t>
      </w:r>
    </w:p>
    <w:p w14:paraId="306BE6B8" w14:textId="77777777" w:rsidR="00717956" w:rsidRDefault="00717956" w:rsidP="00482D58">
      <w:pPr>
        <w:rPr>
          <w:b/>
          <w:bCs/>
          <w:sz w:val="32"/>
          <w:szCs w:val="32"/>
        </w:rPr>
      </w:pPr>
    </w:p>
    <w:p w14:paraId="367EE0C2" w14:textId="77777777" w:rsidR="00717956" w:rsidRDefault="00717956" w:rsidP="00482D58">
      <w:pPr>
        <w:rPr>
          <w:b/>
          <w:bCs/>
          <w:sz w:val="32"/>
          <w:szCs w:val="32"/>
        </w:rPr>
      </w:pPr>
    </w:p>
    <w:p w14:paraId="3C8149FE" w14:textId="77777777" w:rsidR="00717956" w:rsidRDefault="00717956" w:rsidP="00482D58">
      <w:pPr>
        <w:rPr>
          <w:b/>
          <w:bCs/>
          <w:sz w:val="32"/>
          <w:szCs w:val="32"/>
        </w:rPr>
      </w:pPr>
    </w:p>
    <w:p w14:paraId="4700751B" w14:textId="77777777" w:rsidR="00717956" w:rsidRDefault="00717956" w:rsidP="00482D58">
      <w:pPr>
        <w:rPr>
          <w:b/>
          <w:bCs/>
          <w:sz w:val="32"/>
          <w:szCs w:val="32"/>
        </w:rPr>
      </w:pPr>
    </w:p>
    <w:p w14:paraId="779972DC" w14:textId="77777777" w:rsidR="00717956" w:rsidRDefault="00717956" w:rsidP="00482D58">
      <w:pPr>
        <w:rPr>
          <w:b/>
          <w:bCs/>
          <w:sz w:val="32"/>
          <w:szCs w:val="32"/>
        </w:rPr>
      </w:pPr>
    </w:p>
    <w:p w14:paraId="54D84AE5" w14:textId="77777777" w:rsidR="00717956" w:rsidRDefault="00717956" w:rsidP="00482D58">
      <w:pPr>
        <w:rPr>
          <w:b/>
          <w:bCs/>
          <w:sz w:val="32"/>
          <w:szCs w:val="32"/>
        </w:rPr>
      </w:pPr>
    </w:p>
    <w:p w14:paraId="08BE1F77" w14:textId="77777777" w:rsidR="00717956" w:rsidRDefault="00717956" w:rsidP="00482D58">
      <w:pPr>
        <w:rPr>
          <w:b/>
          <w:bCs/>
          <w:sz w:val="32"/>
          <w:szCs w:val="32"/>
        </w:rPr>
      </w:pPr>
    </w:p>
    <w:p w14:paraId="00C9DDC5" w14:textId="77777777" w:rsidR="00717956" w:rsidRDefault="00717956" w:rsidP="00482D58">
      <w:pPr>
        <w:rPr>
          <w:b/>
          <w:bCs/>
          <w:sz w:val="32"/>
          <w:szCs w:val="32"/>
        </w:rPr>
      </w:pPr>
    </w:p>
    <w:p w14:paraId="77EEE4BD" w14:textId="77777777" w:rsidR="001D174C" w:rsidRPr="00AE3DBB" w:rsidRDefault="001D174C" w:rsidP="00AE3DBB"/>
    <w:sectPr w:rsidR="001D174C" w:rsidRPr="00AE3DBB" w:rsidSect="00323110">
      <w:headerReference w:type="even" r:id="rId10"/>
      <w:headerReference w:type="default" r:id="rId11"/>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008624" w14:textId="77777777" w:rsidR="00FC708B" w:rsidRDefault="00FC708B" w:rsidP="00CB6DBF">
      <w:r>
        <w:separator/>
      </w:r>
    </w:p>
  </w:endnote>
  <w:endnote w:type="continuationSeparator" w:id="0">
    <w:p w14:paraId="41CB88FB" w14:textId="77777777" w:rsidR="00FC708B" w:rsidRDefault="00FC708B" w:rsidP="00CB6D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ordia New">
    <w:panose1 w:val="020B0304020202020204"/>
    <w:charset w:val="00"/>
    <w:family w:val="auto"/>
    <w:pitch w:val="variable"/>
    <w:sig w:usb0="81000003" w:usb1="00000000" w:usb2="00000000" w:usb3="00000000" w:csb0="0001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ngsana New">
    <w:panose1 w:val="02020603050405020304"/>
    <w:charset w:val="00"/>
    <w:family w:val="auto"/>
    <w:pitch w:val="variable"/>
    <w:sig w:usb0="81000003" w:usb1="00000000" w:usb2="00000000" w:usb3="00000000" w:csb0="00010001"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68B7D6" w14:textId="77777777" w:rsidR="00B634A9" w:rsidRDefault="00B634A9" w:rsidP="00D80B6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4E05C6B" w14:textId="77777777" w:rsidR="00B634A9" w:rsidRDefault="00B634A9" w:rsidP="00791B6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3000A2" w14:textId="77777777" w:rsidR="00B634A9" w:rsidRPr="00F8743E" w:rsidRDefault="00B634A9" w:rsidP="00F30C2F">
    <w:pPr>
      <w:pStyle w:val="Footer"/>
      <w:framePr w:wrap="none" w:vAnchor="text" w:hAnchor="margin" w:xAlign="right" w:y="1"/>
      <w:rPr>
        <w:rStyle w:val="PageNumber"/>
        <w:rFonts w:ascii="Times New Roman" w:hAnsi="Times New Roman"/>
      </w:rPr>
    </w:pPr>
    <w:r w:rsidRPr="00F8743E">
      <w:rPr>
        <w:rStyle w:val="PageNumber"/>
        <w:rFonts w:ascii="Times New Roman" w:hAnsi="Times New Roman"/>
      </w:rPr>
      <w:fldChar w:fldCharType="begin"/>
    </w:r>
    <w:r w:rsidRPr="00F8743E">
      <w:rPr>
        <w:rStyle w:val="PageNumber"/>
        <w:rFonts w:ascii="Times New Roman" w:hAnsi="Times New Roman"/>
      </w:rPr>
      <w:instrText xml:space="preserve">PAGE  </w:instrText>
    </w:r>
    <w:r w:rsidRPr="00F8743E">
      <w:rPr>
        <w:rStyle w:val="PageNumber"/>
        <w:rFonts w:ascii="Times New Roman" w:hAnsi="Times New Roman"/>
      </w:rPr>
      <w:fldChar w:fldCharType="separate"/>
    </w:r>
    <w:r w:rsidR="00FC708B">
      <w:rPr>
        <w:rStyle w:val="PageNumber"/>
        <w:rFonts w:ascii="Times New Roman" w:hAnsi="Times New Roman"/>
        <w:noProof/>
      </w:rPr>
      <w:t>1</w:t>
    </w:r>
    <w:r w:rsidRPr="00F8743E">
      <w:rPr>
        <w:rStyle w:val="PageNumber"/>
        <w:rFonts w:ascii="Times New Roman" w:hAnsi="Times New Roman"/>
      </w:rPr>
      <w:fldChar w:fldCharType="end"/>
    </w:r>
  </w:p>
  <w:p w14:paraId="31614311" w14:textId="12869092" w:rsidR="00B634A9" w:rsidRDefault="00B634A9" w:rsidP="00D80B66">
    <w:pPr>
      <w:ind w:right="360"/>
      <w:jc w:val="right"/>
      <w:rPr>
        <w:rStyle w:val="PageNumbe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634A9" w14:paraId="670D3DB4" w14:textId="77777777" w:rsidTr="009F7329">
      <w:tc>
        <w:tcPr>
          <w:tcW w:w="4675" w:type="dxa"/>
        </w:tcPr>
        <w:p w14:paraId="26F1B316" w14:textId="04728053" w:rsidR="00B634A9" w:rsidRDefault="00B634A9" w:rsidP="00EE4AB5">
          <w:r>
            <w:t xml:space="preserve"> </w:t>
          </w:r>
        </w:p>
      </w:tc>
      <w:tc>
        <w:tcPr>
          <w:tcW w:w="4675" w:type="dxa"/>
        </w:tcPr>
        <w:p w14:paraId="21702A23" w14:textId="014723AB" w:rsidR="00B634A9" w:rsidRDefault="00B634A9" w:rsidP="009F7329">
          <w:pPr>
            <w:jc w:val="right"/>
          </w:pPr>
        </w:p>
      </w:tc>
    </w:tr>
  </w:tbl>
  <w:p w14:paraId="56EDD454" w14:textId="77777777" w:rsidR="00B634A9" w:rsidRDefault="00B634A9" w:rsidP="00B24700"/>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B1D77D" w14:textId="77777777" w:rsidR="00FC708B" w:rsidRDefault="00FC708B" w:rsidP="00CB6DBF">
      <w:r>
        <w:separator/>
      </w:r>
    </w:p>
  </w:footnote>
  <w:footnote w:type="continuationSeparator" w:id="0">
    <w:p w14:paraId="6EFB2004" w14:textId="77777777" w:rsidR="00FC708B" w:rsidRDefault="00FC708B" w:rsidP="00CB6DB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072962" w14:textId="77777777" w:rsidR="00B634A9" w:rsidRDefault="00B634A9" w:rsidP="00234DD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818ABC" w14:textId="77777777" w:rsidR="00B634A9" w:rsidRDefault="00B634A9" w:rsidP="00CB6DBF">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883" w:type="dxa"/>
      <w:tblInd w:w="-72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183"/>
      <w:gridCol w:w="5700"/>
    </w:tblGrid>
    <w:tr w:rsidR="00B634A9" w14:paraId="691D8864" w14:textId="77777777" w:rsidTr="000D1CAC">
      <w:trPr>
        <w:trHeight w:val="349"/>
      </w:trPr>
      <w:tc>
        <w:tcPr>
          <w:tcW w:w="51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B34A594" w14:textId="6F0FFC34" w:rsidR="00B634A9" w:rsidRPr="006D0AFB" w:rsidRDefault="00B634A9" w:rsidP="00D80B66">
          <w:pPr>
            <w:rPr>
              <w:sz w:val="20"/>
              <w:szCs w:val="20"/>
            </w:rPr>
          </w:pPr>
          <w:r w:rsidRPr="006D0AFB">
            <w:rPr>
              <w:sz w:val="20"/>
              <w:szCs w:val="20"/>
            </w:rPr>
            <w:t>D</w:t>
          </w:r>
          <w:r>
            <w:rPr>
              <w:sz w:val="20"/>
              <w:szCs w:val="20"/>
            </w:rPr>
            <w:t>A841</w:t>
          </w:r>
          <w:r w:rsidRPr="006D0AFB">
            <w:rPr>
              <w:sz w:val="20"/>
              <w:szCs w:val="20"/>
            </w:rPr>
            <w:t xml:space="preserve">0 </w:t>
          </w:r>
          <w:r>
            <w:rPr>
              <w:sz w:val="20"/>
              <w:szCs w:val="20"/>
            </w:rPr>
            <w:t>Fiscal and Monetary Policy Analysis</w:t>
          </w:r>
        </w:p>
      </w:tc>
      <w:tc>
        <w:tcPr>
          <w:tcW w:w="5700" w:type="dxa"/>
          <w:tcBorders>
            <w:left w:val="single" w:sz="4" w:space="0" w:color="FFFFFF" w:themeColor="background1"/>
          </w:tcBorders>
        </w:tcPr>
        <w:p w14:paraId="7DC0D0F7" w14:textId="5A1A220F" w:rsidR="00B634A9" w:rsidRPr="006D0AFB" w:rsidRDefault="00D54B77" w:rsidP="00601F49">
          <w:pPr>
            <w:jc w:val="right"/>
            <w:rPr>
              <w:sz w:val="20"/>
              <w:szCs w:val="20"/>
            </w:rPr>
          </w:pPr>
          <w:r>
            <w:rPr>
              <w:sz w:val="20"/>
              <w:szCs w:val="20"/>
            </w:rPr>
            <w:t>Research Assignment 2</w:t>
          </w:r>
          <w:r w:rsidR="00B634A9">
            <w:rPr>
              <w:sz w:val="20"/>
              <w:szCs w:val="20"/>
            </w:rPr>
            <w:t xml:space="preserve"> </w:t>
          </w:r>
          <w:r w:rsidR="00B634A9" w:rsidRPr="006D0AFB">
            <w:rPr>
              <w:sz w:val="20"/>
              <w:szCs w:val="20"/>
            </w:rPr>
            <w:t xml:space="preserve"> </w:t>
          </w:r>
        </w:p>
      </w:tc>
    </w:tr>
  </w:tbl>
  <w:p w14:paraId="5F314ADD" w14:textId="2C2ACB02" w:rsidR="00B634A9" w:rsidRDefault="00B634A9" w:rsidP="00791B6F">
    <w:pPr>
      <w:pStyle w:val="Header"/>
      <w:ind w:right="360"/>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A724A"/>
    <w:multiLevelType w:val="hybridMultilevel"/>
    <w:tmpl w:val="11E83528"/>
    <w:lvl w:ilvl="0" w:tplc="B5A4ED7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29B22C7"/>
    <w:multiLevelType w:val="hybridMultilevel"/>
    <w:tmpl w:val="DD20C520"/>
    <w:lvl w:ilvl="0" w:tplc="883018C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D1489F"/>
    <w:multiLevelType w:val="hybridMultilevel"/>
    <w:tmpl w:val="A4EC8EC8"/>
    <w:lvl w:ilvl="0" w:tplc="883018C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EF7999"/>
    <w:multiLevelType w:val="multilevel"/>
    <w:tmpl w:val="80C21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9474687"/>
    <w:multiLevelType w:val="multilevel"/>
    <w:tmpl w:val="ECAC4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07F3424"/>
    <w:multiLevelType w:val="multilevel"/>
    <w:tmpl w:val="072ED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48934B6"/>
    <w:multiLevelType w:val="hybridMultilevel"/>
    <w:tmpl w:val="C1A2F9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3A3774"/>
    <w:multiLevelType w:val="hybridMultilevel"/>
    <w:tmpl w:val="1F0EB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8F65E2"/>
    <w:multiLevelType w:val="hybridMultilevel"/>
    <w:tmpl w:val="69E62F3C"/>
    <w:lvl w:ilvl="0" w:tplc="BB24C8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A5C752D"/>
    <w:multiLevelType w:val="hybridMultilevel"/>
    <w:tmpl w:val="D6AE5C54"/>
    <w:lvl w:ilvl="0" w:tplc="883018C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464D10"/>
    <w:multiLevelType w:val="hybridMultilevel"/>
    <w:tmpl w:val="6DFE13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451847"/>
    <w:multiLevelType w:val="hybridMultilevel"/>
    <w:tmpl w:val="17C4FDD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563876E6"/>
    <w:multiLevelType w:val="hybridMultilevel"/>
    <w:tmpl w:val="B1128124"/>
    <w:lvl w:ilvl="0" w:tplc="E2F69F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A2467A6"/>
    <w:multiLevelType w:val="hybridMultilevel"/>
    <w:tmpl w:val="3A36A5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10638E"/>
    <w:multiLevelType w:val="hybridMultilevel"/>
    <w:tmpl w:val="3676CF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154008"/>
    <w:multiLevelType w:val="hybridMultilevel"/>
    <w:tmpl w:val="B52CF3AC"/>
    <w:lvl w:ilvl="0" w:tplc="A0545BF2">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1B5992"/>
    <w:multiLevelType w:val="multilevel"/>
    <w:tmpl w:val="1A64C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5"/>
  </w:num>
  <w:num w:numId="3">
    <w:abstractNumId w:val="12"/>
  </w:num>
  <w:num w:numId="4">
    <w:abstractNumId w:val="9"/>
  </w:num>
  <w:num w:numId="5">
    <w:abstractNumId w:val="2"/>
  </w:num>
  <w:num w:numId="6">
    <w:abstractNumId w:val="1"/>
  </w:num>
  <w:num w:numId="7">
    <w:abstractNumId w:val="13"/>
  </w:num>
  <w:num w:numId="8">
    <w:abstractNumId w:val="6"/>
  </w:num>
  <w:num w:numId="9">
    <w:abstractNumId w:val="10"/>
  </w:num>
  <w:num w:numId="10">
    <w:abstractNumId w:val="0"/>
  </w:num>
  <w:num w:numId="11">
    <w:abstractNumId w:val="11"/>
  </w:num>
  <w:num w:numId="12">
    <w:abstractNumId w:val="4"/>
  </w:num>
  <w:num w:numId="13">
    <w:abstractNumId w:val="5"/>
  </w:num>
  <w:num w:numId="14">
    <w:abstractNumId w:val="3"/>
  </w:num>
  <w:num w:numId="15">
    <w:abstractNumId w:val="16"/>
  </w:num>
  <w:num w:numId="16">
    <w:abstractNumId w:val="7"/>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ED5"/>
    <w:rsid w:val="000008FA"/>
    <w:rsid w:val="000028AC"/>
    <w:rsid w:val="00002A4F"/>
    <w:rsid w:val="00003881"/>
    <w:rsid w:val="000038C9"/>
    <w:rsid w:val="0000565D"/>
    <w:rsid w:val="00006EF4"/>
    <w:rsid w:val="000079B0"/>
    <w:rsid w:val="000110C6"/>
    <w:rsid w:val="00011626"/>
    <w:rsid w:val="00013213"/>
    <w:rsid w:val="000154DF"/>
    <w:rsid w:val="00021002"/>
    <w:rsid w:val="00022C01"/>
    <w:rsid w:val="00023389"/>
    <w:rsid w:val="00024729"/>
    <w:rsid w:val="00026FAD"/>
    <w:rsid w:val="000319AF"/>
    <w:rsid w:val="00032B2D"/>
    <w:rsid w:val="000337FD"/>
    <w:rsid w:val="00033FFD"/>
    <w:rsid w:val="00034784"/>
    <w:rsid w:val="00035493"/>
    <w:rsid w:val="00036249"/>
    <w:rsid w:val="00036F0B"/>
    <w:rsid w:val="00037997"/>
    <w:rsid w:val="00037FD7"/>
    <w:rsid w:val="00037FEF"/>
    <w:rsid w:val="00040023"/>
    <w:rsid w:val="00040202"/>
    <w:rsid w:val="00041171"/>
    <w:rsid w:val="00041BC4"/>
    <w:rsid w:val="000420C9"/>
    <w:rsid w:val="00042BF7"/>
    <w:rsid w:val="000433CD"/>
    <w:rsid w:val="000440C6"/>
    <w:rsid w:val="00044DDF"/>
    <w:rsid w:val="00044FB4"/>
    <w:rsid w:val="00045364"/>
    <w:rsid w:val="000512DA"/>
    <w:rsid w:val="00052068"/>
    <w:rsid w:val="00052F14"/>
    <w:rsid w:val="00053B00"/>
    <w:rsid w:val="00053BA6"/>
    <w:rsid w:val="00054828"/>
    <w:rsid w:val="000551C0"/>
    <w:rsid w:val="00055ECA"/>
    <w:rsid w:val="00056D40"/>
    <w:rsid w:val="00057E55"/>
    <w:rsid w:val="000615FF"/>
    <w:rsid w:val="000660C2"/>
    <w:rsid w:val="00067970"/>
    <w:rsid w:val="00070BBE"/>
    <w:rsid w:val="00071692"/>
    <w:rsid w:val="0007259F"/>
    <w:rsid w:val="00073404"/>
    <w:rsid w:val="0007496F"/>
    <w:rsid w:val="000756EA"/>
    <w:rsid w:val="0007630B"/>
    <w:rsid w:val="0007637B"/>
    <w:rsid w:val="00077075"/>
    <w:rsid w:val="00080F1A"/>
    <w:rsid w:val="000815DC"/>
    <w:rsid w:val="00082BCB"/>
    <w:rsid w:val="00082F22"/>
    <w:rsid w:val="00084340"/>
    <w:rsid w:val="000857A4"/>
    <w:rsid w:val="000906BB"/>
    <w:rsid w:val="000909F0"/>
    <w:rsid w:val="00090E0D"/>
    <w:rsid w:val="00093148"/>
    <w:rsid w:val="00094305"/>
    <w:rsid w:val="00094AD2"/>
    <w:rsid w:val="000969D0"/>
    <w:rsid w:val="000A03E0"/>
    <w:rsid w:val="000A1441"/>
    <w:rsid w:val="000A54B9"/>
    <w:rsid w:val="000A6FBE"/>
    <w:rsid w:val="000B145D"/>
    <w:rsid w:val="000B1DB4"/>
    <w:rsid w:val="000B21E8"/>
    <w:rsid w:val="000B2AD3"/>
    <w:rsid w:val="000B3613"/>
    <w:rsid w:val="000B3EE4"/>
    <w:rsid w:val="000B4005"/>
    <w:rsid w:val="000B44F2"/>
    <w:rsid w:val="000B6986"/>
    <w:rsid w:val="000B6EE9"/>
    <w:rsid w:val="000C0B99"/>
    <w:rsid w:val="000C1564"/>
    <w:rsid w:val="000C311F"/>
    <w:rsid w:val="000C5766"/>
    <w:rsid w:val="000C5D04"/>
    <w:rsid w:val="000C6C38"/>
    <w:rsid w:val="000C7127"/>
    <w:rsid w:val="000D1CAC"/>
    <w:rsid w:val="000D4337"/>
    <w:rsid w:val="000D4FB7"/>
    <w:rsid w:val="000D5C10"/>
    <w:rsid w:val="000E1E41"/>
    <w:rsid w:val="000E2256"/>
    <w:rsid w:val="000E2382"/>
    <w:rsid w:val="000E2E3B"/>
    <w:rsid w:val="000E3812"/>
    <w:rsid w:val="000E4823"/>
    <w:rsid w:val="000E725B"/>
    <w:rsid w:val="000E768F"/>
    <w:rsid w:val="000E7A41"/>
    <w:rsid w:val="000E7ACC"/>
    <w:rsid w:val="000F019F"/>
    <w:rsid w:val="000F14A5"/>
    <w:rsid w:val="000F1AEE"/>
    <w:rsid w:val="000F2431"/>
    <w:rsid w:val="000F2533"/>
    <w:rsid w:val="000F5DA5"/>
    <w:rsid w:val="000F65D0"/>
    <w:rsid w:val="000F7925"/>
    <w:rsid w:val="000F7FEA"/>
    <w:rsid w:val="00100009"/>
    <w:rsid w:val="001029A9"/>
    <w:rsid w:val="00103E48"/>
    <w:rsid w:val="00106A6B"/>
    <w:rsid w:val="001107F2"/>
    <w:rsid w:val="00110922"/>
    <w:rsid w:val="001113FB"/>
    <w:rsid w:val="00111690"/>
    <w:rsid w:val="001119A3"/>
    <w:rsid w:val="00112E5A"/>
    <w:rsid w:val="00116262"/>
    <w:rsid w:val="0011738D"/>
    <w:rsid w:val="00120201"/>
    <w:rsid w:val="00121678"/>
    <w:rsid w:val="00121AE0"/>
    <w:rsid w:val="00122821"/>
    <w:rsid w:val="00126009"/>
    <w:rsid w:val="001268E2"/>
    <w:rsid w:val="00126BED"/>
    <w:rsid w:val="001270A3"/>
    <w:rsid w:val="001279A6"/>
    <w:rsid w:val="001316BF"/>
    <w:rsid w:val="00133730"/>
    <w:rsid w:val="00133BC7"/>
    <w:rsid w:val="00135445"/>
    <w:rsid w:val="00141893"/>
    <w:rsid w:val="00141FF7"/>
    <w:rsid w:val="001424D7"/>
    <w:rsid w:val="001467A4"/>
    <w:rsid w:val="00146AD0"/>
    <w:rsid w:val="0014730D"/>
    <w:rsid w:val="001477AF"/>
    <w:rsid w:val="0014793E"/>
    <w:rsid w:val="001526C9"/>
    <w:rsid w:val="00152C34"/>
    <w:rsid w:val="00153C19"/>
    <w:rsid w:val="00154528"/>
    <w:rsid w:val="00154EEA"/>
    <w:rsid w:val="00155704"/>
    <w:rsid w:val="00156CB5"/>
    <w:rsid w:val="00157394"/>
    <w:rsid w:val="00157D08"/>
    <w:rsid w:val="00164456"/>
    <w:rsid w:val="00164E7D"/>
    <w:rsid w:val="0016565B"/>
    <w:rsid w:val="00165E2B"/>
    <w:rsid w:val="001676F9"/>
    <w:rsid w:val="00167E24"/>
    <w:rsid w:val="001729D6"/>
    <w:rsid w:val="0017497B"/>
    <w:rsid w:val="00176AE1"/>
    <w:rsid w:val="00177241"/>
    <w:rsid w:val="001800EF"/>
    <w:rsid w:val="0018014E"/>
    <w:rsid w:val="00180ABE"/>
    <w:rsid w:val="00181315"/>
    <w:rsid w:val="00181A4F"/>
    <w:rsid w:val="00182005"/>
    <w:rsid w:val="00182658"/>
    <w:rsid w:val="0019086D"/>
    <w:rsid w:val="00192CA4"/>
    <w:rsid w:val="00195387"/>
    <w:rsid w:val="001953B5"/>
    <w:rsid w:val="001969CE"/>
    <w:rsid w:val="001974D8"/>
    <w:rsid w:val="00197920"/>
    <w:rsid w:val="001A0F3F"/>
    <w:rsid w:val="001A1CD5"/>
    <w:rsid w:val="001A412C"/>
    <w:rsid w:val="001A4994"/>
    <w:rsid w:val="001A5502"/>
    <w:rsid w:val="001A75A1"/>
    <w:rsid w:val="001B1F69"/>
    <w:rsid w:val="001B3C50"/>
    <w:rsid w:val="001B4C9C"/>
    <w:rsid w:val="001B570A"/>
    <w:rsid w:val="001C0A1F"/>
    <w:rsid w:val="001C1E27"/>
    <w:rsid w:val="001C27E1"/>
    <w:rsid w:val="001C28D3"/>
    <w:rsid w:val="001C2DBF"/>
    <w:rsid w:val="001C33BD"/>
    <w:rsid w:val="001C4F53"/>
    <w:rsid w:val="001C7338"/>
    <w:rsid w:val="001C77BA"/>
    <w:rsid w:val="001D174C"/>
    <w:rsid w:val="001D1D5E"/>
    <w:rsid w:val="001D336D"/>
    <w:rsid w:val="001D426B"/>
    <w:rsid w:val="001D4B41"/>
    <w:rsid w:val="001D4BF0"/>
    <w:rsid w:val="001D509D"/>
    <w:rsid w:val="001D5835"/>
    <w:rsid w:val="001D5D63"/>
    <w:rsid w:val="001D6290"/>
    <w:rsid w:val="001D6C31"/>
    <w:rsid w:val="001D6FD2"/>
    <w:rsid w:val="001D73DB"/>
    <w:rsid w:val="001D743A"/>
    <w:rsid w:val="001E43DA"/>
    <w:rsid w:val="001E46BB"/>
    <w:rsid w:val="001E4CE9"/>
    <w:rsid w:val="001E6796"/>
    <w:rsid w:val="001F0CBF"/>
    <w:rsid w:val="001F1666"/>
    <w:rsid w:val="001F2881"/>
    <w:rsid w:val="001F2F34"/>
    <w:rsid w:val="001F2F79"/>
    <w:rsid w:val="001F3E02"/>
    <w:rsid w:val="001F5755"/>
    <w:rsid w:val="001F61FF"/>
    <w:rsid w:val="001F7C17"/>
    <w:rsid w:val="001F7C7F"/>
    <w:rsid w:val="001F7CE9"/>
    <w:rsid w:val="00200744"/>
    <w:rsid w:val="00200995"/>
    <w:rsid w:val="002009FA"/>
    <w:rsid w:val="002015CF"/>
    <w:rsid w:val="00201767"/>
    <w:rsid w:val="002030E1"/>
    <w:rsid w:val="00207ABE"/>
    <w:rsid w:val="00207F3F"/>
    <w:rsid w:val="00210AB0"/>
    <w:rsid w:val="00210C6F"/>
    <w:rsid w:val="002115DF"/>
    <w:rsid w:val="00213353"/>
    <w:rsid w:val="00213A1B"/>
    <w:rsid w:val="002144C3"/>
    <w:rsid w:val="00214971"/>
    <w:rsid w:val="00214B2A"/>
    <w:rsid w:val="00215200"/>
    <w:rsid w:val="002159FD"/>
    <w:rsid w:val="002167AD"/>
    <w:rsid w:val="00217E99"/>
    <w:rsid w:val="00221C48"/>
    <w:rsid w:val="00222F43"/>
    <w:rsid w:val="0022385A"/>
    <w:rsid w:val="00223E0A"/>
    <w:rsid w:val="00223F6C"/>
    <w:rsid w:val="00224640"/>
    <w:rsid w:val="00225144"/>
    <w:rsid w:val="002260EF"/>
    <w:rsid w:val="002275C4"/>
    <w:rsid w:val="00227B28"/>
    <w:rsid w:val="002321AC"/>
    <w:rsid w:val="00234DD5"/>
    <w:rsid w:val="00234F69"/>
    <w:rsid w:val="002356EB"/>
    <w:rsid w:val="00235B6E"/>
    <w:rsid w:val="00242586"/>
    <w:rsid w:val="002429E5"/>
    <w:rsid w:val="0024504D"/>
    <w:rsid w:val="0024528E"/>
    <w:rsid w:val="00246871"/>
    <w:rsid w:val="00246A33"/>
    <w:rsid w:val="00251995"/>
    <w:rsid w:val="002525DD"/>
    <w:rsid w:val="002538BA"/>
    <w:rsid w:val="002550C3"/>
    <w:rsid w:val="0025715E"/>
    <w:rsid w:val="002571C0"/>
    <w:rsid w:val="002573FF"/>
    <w:rsid w:val="0026110D"/>
    <w:rsid w:val="00262041"/>
    <w:rsid w:val="00264100"/>
    <w:rsid w:val="00264FB7"/>
    <w:rsid w:val="00265332"/>
    <w:rsid w:val="00265717"/>
    <w:rsid w:val="00267F72"/>
    <w:rsid w:val="0027138F"/>
    <w:rsid w:val="0027351D"/>
    <w:rsid w:val="002747BE"/>
    <w:rsid w:val="00274BE7"/>
    <w:rsid w:val="00275E66"/>
    <w:rsid w:val="00280E12"/>
    <w:rsid w:val="00280E51"/>
    <w:rsid w:val="0028186B"/>
    <w:rsid w:val="00281FB0"/>
    <w:rsid w:val="00282746"/>
    <w:rsid w:val="00282EAA"/>
    <w:rsid w:val="00282FE6"/>
    <w:rsid w:val="002833F9"/>
    <w:rsid w:val="002848B1"/>
    <w:rsid w:val="00285C1F"/>
    <w:rsid w:val="0028620A"/>
    <w:rsid w:val="0028737E"/>
    <w:rsid w:val="0028767D"/>
    <w:rsid w:val="00287757"/>
    <w:rsid w:val="00287DAB"/>
    <w:rsid w:val="0029091E"/>
    <w:rsid w:val="002927EC"/>
    <w:rsid w:val="00292F1C"/>
    <w:rsid w:val="0029392C"/>
    <w:rsid w:val="002948A1"/>
    <w:rsid w:val="0029591C"/>
    <w:rsid w:val="00295C8E"/>
    <w:rsid w:val="002976C8"/>
    <w:rsid w:val="002A0ED3"/>
    <w:rsid w:val="002A21FB"/>
    <w:rsid w:val="002A36B3"/>
    <w:rsid w:val="002A63D3"/>
    <w:rsid w:val="002A7B8C"/>
    <w:rsid w:val="002A7DB0"/>
    <w:rsid w:val="002B0C4C"/>
    <w:rsid w:val="002B398B"/>
    <w:rsid w:val="002B3B44"/>
    <w:rsid w:val="002B65D2"/>
    <w:rsid w:val="002B7613"/>
    <w:rsid w:val="002C0EC8"/>
    <w:rsid w:val="002C1EDE"/>
    <w:rsid w:val="002C2E50"/>
    <w:rsid w:val="002D2371"/>
    <w:rsid w:val="002D2473"/>
    <w:rsid w:val="002D24CF"/>
    <w:rsid w:val="002D420C"/>
    <w:rsid w:val="002D59C9"/>
    <w:rsid w:val="002D64AE"/>
    <w:rsid w:val="002D6A1F"/>
    <w:rsid w:val="002D7735"/>
    <w:rsid w:val="002E20DD"/>
    <w:rsid w:val="002E256C"/>
    <w:rsid w:val="002E4F6F"/>
    <w:rsid w:val="002E676E"/>
    <w:rsid w:val="002E7267"/>
    <w:rsid w:val="002E7438"/>
    <w:rsid w:val="002E7612"/>
    <w:rsid w:val="002F009E"/>
    <w:rsid w:val="002F14D6"/>
    <w:rsid w:val="002F61D7"/>
    <w:rsid w:val="00300528"/>
    <w:rsid w:val="00300BDE"/>
    <w:rsid w:val="00301CB4"/>
    <w:rsid w:val="00301DA5"/>
    <w:rsid w:val="003024D3"/>
    <w:rsid w:val="00302D32"/>
    <w:rsid w:val="00303288"/>
    <w:rsid w:val="00304118"/>
    <w:rsid w:val="003042E5"/>
    <w:rsid w:val="003063A8"/>
    <w:rsid w:val="00306651"/>
    <w:rsid w:val="003108F4"/>
    <w:rsid w:val="00311421"/>
    <w:rsid w:val="0031236E"/>
    <w:rsid w:val="003137EF"/>
    <w:rsid w:val="0031479F"/>
    <w:rsid w:val="003155CD"/>
    <w:rsid w:val="00316855"/>
    <w:rsid w:val="00316CBD"/>
    <w:rsid w:val="00317878"/>
    <w:rsid w:val="00320AD8"/>
    <w:rsid w:val="00320E38"/>
    <w:rsid w:val="00322129"/>
    <w:rsid w:val="00323110"/>
    <w:rsid w:val="00323C23"/>
    <w:rsid w:val="00325583"/>
    <w:rsid w:val="00325E69"/>
    <w:rsid w:val="00330517"/>
    <w:rsid w:val="00331C16"/>
    <w:rsid w:val="00331EFF"/>
    <w:rsid w:val="003329F4"/>
    <w:rsid w:val="003329FC"/>
    <w:rsid w:val="003344EC"/>
    <w:rsid w:val="00334C9D"/>
    <w:rsid w:val="00336039"/>
    <w:rsid w:val="0033622A"/>
    <w:rsid w:val="003370DB"/>
    <w:rsid w:val="00337205"/>
    <w:rsid w:val="0033780F"/>
    <w:rsid w:val="00337D39"/>
    <w:rsid w:val="00337F77"/>
    <w:rsid w:val="003403E6"/>
    <w:rsid w:val="00341A17"/>
    <w:rsid w:val="003421FD"/>
    <w:rsid w:val="00344EDA"/>
    <w:rsid w:val="00345B69"/>
    <w:rsid w:val="00350207"/>
    <w:rsid w:val="00351E9E"/>
    <w:rsid w:val="00353B6C"/>
    <w:rsid w:val="00354397"/>
    <w:rsid w:val="00355406"/>
    <w:rsid w:val="0035623B"/>
    <w:rsid w:val="00356805"/>
    <w:rsid w:val="00360B2E"/>
    <w:rsid w:val="00360CDA"/>
    <w:rsid w:val="0036163C"/>
    <w:rsid w:val="003621B8"/>
    <w:rsid w:val="003667A8"/>
    <w:rsid w:val="003669B6"/>
    <w:rsid w:val="00366CAD"/>
    <w:rsid w:val="00367248"/>
    <w:rsid w:val="003672BB"/>
    <w:rsid w:val="00370623"/>
    <w:rsid w:val="00370B8D"/>
    <w:rsid w:val="00370C18"/>
    <w:rsid w:val="003711ED"/>
    <w:rsid w:val="003762D3"/>
    <w:rsid w:val="0038180C"/>
    <w:rsid w:val="00382E1A"/>
    <w:rsid w:val="00385E95"/>
    <w:rsid w:val="0038671E"/>
    <w:rsid w:val="00386C24"/>
    <w:rsid w:val="00386DFF"/>
    <w:rsid w:val="00392C8C"/>
    <w:rsid w:val="003935E8"/>
    <w:rsid w:val="00393896"/>
    <w:rsid w:val="00396260"/>
    <w:rsid w:val="003A01A0"/>
    <w:rsid w:val="003A1488"/>
    <w:rsid w:val="003A24A8"/>
    <w:rsid w:val="003A2912"/>
    <w:rsid w:val="003A2D73"/>
    <w:rsid w:val="003A3ADB"/>
    <w:rsid w:val="003A3D94"/>
    <w:rsid w:val="003A41FB"/>
    <w:rsid w:val="003A4524"/>
    <w:rsid w:val="003A4CC1"/>
    <w:rsid w:val="003A51FE"/>
    <w:rsid w:val="003A61A5"/>
    <w:rsid w:val="003A6F77"/>
    <w:rsid w:val="003A7FC1"/>
    <w:rsid w:val="003B0F59"/>
    <w:rsid w:val="003B10C6"/>
    <w:rsid w:val="003B21B1"/>
    <w:rsid w:val="003B2DB2"/>
    <w:rsid w:val="003B3E59"/>
    <w:rsid w:val="003B735F"/>
    <w:rsid w:val="003C01E6"/>
    <w:rsid w:val="003C1457"/>
    <w:rsid w:val="003C2731"/>
    <w:rsid w:val="003C4F93"/>
    <w:rsid w:val="003C548A"/>
    <w:rsid w:val="003C667C"/>
    <w:rsid w:val="003C68C7"/>
    <w:rsid w:val="003C7899"/>
    <w:rsid w:val="003D0BC9"/>
    <w:rsid w:val="003D2045"/>
    <w:rsid w:val="003D2776"/>
    <w:rsid w:val="003D3EAB"/>
    <w:rsid w:val="003D5E67"/>
    <w:rsid w:val="003D6AE9"/>
    <w:rsid w:val="003D6C50"/>
    <w:rsid w:val="003D7CBB"/>
    <w:rsid w:val="003E1386"/>
    <w:rsid w:val="003E25CB"/>
    <w:rsid w:val="003E453B"/>
    <w:rsid w:val="003E522A"/>
    <w:rsid w:val="003E59FD"/>
    <w:rsid w:val="003F0680"/>
    <w:rsid w:val="003F1517"/>
    <w:rsid w:val="003F1A40"/>
    <w:rsid w:val="003F2396"/>
    <w:rsid w:val="003F3442"/>
    <w:rsid w:val="003F35B6"/>
    <w:rsid w:val="003F3942"/>
    <w:rsid w:val="003F3C6E"/>
    <w:rsid w:val="003F3DBB"/>
    <w:rsid w:val="003F4ABC"/>
    <w:rsid w:val="003F5A4C"/>
    <w:rsid w:val="003F602E"/>
    <w:rsid w:val="003F6A8C"/>
    <w:rsid w:val="00400ABE"/>
    <w:rsid w:val="004025FE"/>
    <w:rsid w:val="00404811"/>
    <w:rsid w:val="0040643B"/>
    <w:rsid w:val="0040699A"/>
    <w:rsid w:val="0040707D"/>
    <w:rsid w:val="00411C81"/>
    <w:rsid w:val="004122BF"/>
    <w:rsid w:val="00413CF9"/>
    <w:rsid w:val="004142CB"/>
    <w:rsid w:val="00414C41"/>
    <w:rsid w:val="00415BC5"/>
    <w:rsid w:val="00416F27"/>
    <w:rsid w:val="00420BE4"/>
    <w:rsid w:val="0042185F"/>
    <w:rsid w:val="00423027"/>
    <w:rsid w:val="00423030"/>
    <w:rsid w:val="00423B01"/>
    <w:rsid w:val="00424A78"/>
    <w:rsid w:val="00424EDF"/>
    <w:rsid w:val="004300C3"/>
    <w:rsid w:val="00430188"/>
    <w:rsid w:val="00430558"/>
    <w:rsid w:val="00430BDE"/>
    <w:rsid w:val="00430C37"/>
    <w:rsid w:val="00430C8E"/>
    <w:rsid w:val="00430CDC"/>
    <w:rsid w:val="00430DEB"/>
    <w:rsid w:val="0043469F"/>
    <w:rsid w:val="00440A47"/>
    <w:rsid w:val="00441E69"/>
    <w:rsid w:val="00444AC9"/>
    <w:rsid w:val="0044646F"/>
    <w:rsid w:val="004505AC"/>
    <w:rsid w:val="00450E51"/>
    <w:rsid w:val="00451437"/>
    <w:rsid w:val="004519C8"/>
    <w:rsid w:val="004527B8"/>
    <w:rsid w:val="004541B5"/>
    <w:rsid w:val="004542B1"/>
    <w:rsid w:val="004552BD"/>
    <w:rsid w:val="00455392"/>
    <w:rsid w:val="004553A0"/>
    <w:rsid w:val="00456166"/>
    <w:rsid w:val="00456918"/>
    <w:rsid w:val="0045693C"/>
    <w:rsid w:val="00457A4F"/>
    <w:rsid w:val="00457A5E"/>
    <w:rsid w:val="004619BC"/>
    <w:rsid w:val="00464938"/>
    <w:rsid w:val="00465598"/>
    <w:rsid w:val="00465886"/>
    <w:rsid w:val="004659AC"/>
    <w:rsid w:val="00466407"/>
    <w:rsid w:val="00467973"/>
    <w:rsid w:val="004710F8"/>
    <w:rsid w:val="00472F30"/>
    <w:rsid w:val="004732DA"/>
    <w:rsid w:val="004747A3"/>
    <w:rsid w:val="004747E9"/>
    <w:rsid w:val="0047498B"/>
    <w:rsid w:val="00475393"/>
    <w:rsid w:val="00481499"/>
    <w:rsid w:val="00482D58"/>
    <w:rsid w:val="004859A6"/>
    <w:rsid w:val="00486FDC"/>
    <w:rsid w:val="004871C9"/>
    <w:rsid w:val="0049009C"/>
    <w:rsid w:val="00490326"/>
    <w:rsid w:val="00492F84"/>
    <w:rsid w:val="00494560"/>
    <w:rsid w:val="004947B9"/>
    <w:rsid w:val="0049628C"/>
    <w:rsid w:val="004967B7"/>
    <w:rsid w:val="004A0AFD"/>
    <w:rsid w:val="004A1AC3"/>
    <w:rsid w:val="004A292E"/>
    <w:rsid w:val="004A3920"/>
    <w:rsid w:val="004A3DFE"/>
    <w:rsid w:val="004A4936"/>
    <w:rsid w:val="004A4D76"/>
    <w:rsid w:val="004A5336"/>
    <w:rsid w:val="004A5EFC"/>
    <w:rsid w:val="004B1366"/>
    <w:rsid w:val="004B1B43"/>
    <w:rsid w:val="004B3E5C"/>
    <w:rsid w:val="004B56D1"/>
    <w:rsid w:val="004B582B"/>
    <w:rsid w:val="004B7463"/>
    <w:rsid w:val="004C0904"/>
    <w:rsid w:val="004C0BA8"/>
    <w:rsid w:val="004C0CAA"/>
    <w:rsid w:val="004C4569"/>
    <w:rsid w:val="004C550A"/>
    <w:rsid w:val="004C62E3"/>
    <w:rsid w:val="004C644A"/>
    <w:rsid w:val="004C6EEC"/>
    <w:rsid w:val="004C759C"/>
    <w:rsid w:val="004D21E0"/>
    <w:rsid w:val="004D242F"/>
    <w:rsid w:val="004D4206"/>
    <w:rsid w:val="004D47B7"/>
    <w:rsid w:val="004D61EB"/>
    <w:rsid w:val="004D731E"/>
    <w:rsid w:val="004D7CCA"/>
    <w:rsid w:val="004E06FE"/>
    <w:rsid w:val="004E09DD"/>
    <w:rsid w:val="004E0F56"/>
    <w:rsid w:val="004E224D"/>
    <w:rsid w:val="004E29AA"/>
    <w:rsid w:val="004E417E"/>
    <w:rsid w:val="004E6E32"/>
    <w:rsid w:val="004E721F"/>
    <w:rsid w:val="004E7472"/>
    <w:rsid w:val="004F245A"/>
    <w:rsid w:val="004F2D43"/>
    <w:rsid w:val="004F349E"/>
    <w:rsid w:val="004F3512"/>
    <w:rsid w:val="004F4F74"/>
    <w:rsid w:val="004F5762"/>
    <w:rsid w:val="004F6016"/>
    <w:rsid w:val="004F7FDA"/>
    <w:rsid w:val="0050213B"/>
    <w:rsid w:val="0050269C"/>
    <w:rsid w:val="00502F62"/>
    <w:rsid w:val="005038A9"/>
    <w:rsid w:val="00503A6B"/>
    <w:rsid w:val="00503ECC"/>
    <w:rsid w:val="00505786"/>
    <w:rsid w:val="00505CD2"/>
    <w:rsid w:val="00505EE7"/>
    <w:rsid w:val="0050734A"/>
    <w:rsid w:val="00507F5B"/>
    <w:rsid w:val="0051447B"/>
    <w:rsid w:val="00515878"/>
    <w:rsid w:val="00515F5D"/>
    <w:rsid w:val="0051665C"/>
    <w:rsid w:val="005178F5"/>
    <w:rsid w:val="005219BE"/>
    <w:rsid w:val="00523898"/>
    <w:rsid w:val="005239AD"/>
    <w:rsid w:val="00524311"/>
    <w:rsid w:val="00524FAB"/>
    <w:rsid w:val="005271FD"/>
    <w:rsid w:val="00530538"/>
    <w:rsid w:val="00531396"/>
    <w:rsid w:val="00532F58"/>
    <w:rsid w:val="0053405F"/>
    <w:rsid w:val="0054097B"/>
    <w:rsid w:val="0054143E"/>
    <w:rsid w:val="00541517"/>
    <w:rsid w:val="00542214"/>
    <w:rsid w:val="005423E1"/>
    <w:rsid w:val="00543819"/>
    <w:rsid w:val="00543E85"/>
    <w:rsid w:val="0054545C"/>
    <w:rsid w:val="00545FC9"/>
    <w:rsid w:val="00547E73"/>
    <w:rsid w:val="0055102A"/>
    <w:rsid w:val="00551065"/>
    <w:rsid w:val="00551D62"/>
    <w:rsid w:val="00551F88"/>
    <w:rsid w:val="005523B7"/>
    <w:rsid w:val="005538A7"/>
    <w:rsid w:val="00553BBB"/>
    <w:rsid w:val="00556752"/>
    <w:rsid w:val="00556DA4"/>
    <w:rsid w:val="00560461"/>
    <w:rsid w:val="00560C8D"/>
    <w:rsid w:val="005620DC"/>
    <w:rsid w:val="0056318D"/>
    <w:rsid w:val="005634EF"/>
    <w:rsid w:val="00565C9F"/>
    <w:rsid w:val="00566ACE"/>
    <w:rsid w:val="00571B66"/>
    <w:rsid w:val="005727F7"/>
    <w:rsid w:val="00573957"/>
    <w:rsid w:val="005747BC"/>
    <w:rsid w:val="0057520E"/>
    <w:rsid w:val="0057538F"/>
    <w:rsid w:val="00575F85"/>
    <w:rsid w:val="0057675E"/>
    <w:rsid w:val="0058095D"/>
    <w:rsid w:val="00580ED9"/>
    <w:rsid w:val="005813EA"/>
    <w:rsid w:val="005818F5"/>
    <w:rsid w:val="00581929"/>
    <w:rsid w:val="00582C83"/>
    <w:rsid w:val="00582D7A"/>
    <w:rsid w:val="00587285"/>
    <w:rsid w:val="00587D0E"/>
    <w:rsid w:val="00591CFF"/>
    <w:rsid w:val="00593B68"/>
    <w:rsid w:val="00594412"/>
    <w:rsid w:val="00595A03"/>
    <w:rsid w:val="00596004"/>
    <w:rsid w:val="005969C0"/>
    <w:rsid w:val="00597856"/>
    <w:rsid w:val="00597897"/>
    <w:rsid w:val="005A0BC7"/>
    <w:rsid w:val="005A2C5E"/>
    <w:rsid w:val="005A4C44"/>
    <w:rsid w:val="005A5ADC"/>
    <w:rsid w:val="005A6B99"/>
    <w:rsid w:val="005A714B"/>
    <w:rsid w:val="005A7C07"/>
    <w:rsid w:val="005A7E03"/>
    <w:rsid w:val="005B19AB"/>
    <w:rsid w:val="005B2266"/>
    <w:rsid w:val="005B3660"/>
    <w:rsid w:val="005B3A26"/>
    <w:rsid w:val="005B3BA4"/>
    <w:rsid w:val="005C042F"/>
    <w:rsid w:val="005C4401"/>
    <w:rsid w:val="005C5991"/>
    <w:rsid w:val="005C5B12"/>
    <w:rsid w:val="005C690E"/>
    <w:rsid w:val="005C6B94"/>
    <w:rsid w:val="005C7315"/>
    <w:rsid w:val="005D041D"/>
    <w:rsid w:val="005D2435"/>
    <w:rsid w:val="005D2F85"/>
    <w:rsid w:val="005D3197"/>
    <w:rsid w:val="005D35E1"/>
    <w:rsid w:val="005D3AF5"/>
    <w:rsid w:val="005D4579"/>
    <w:rsid w:val="005D4CEC"/>
    <w:rsid w:val="005D50AB"/>
    <w:rsid w:val="005E2DE7"/>
    <w:rsid w:val="005E3CE7"/>
    <w:rsid w:val="005E3F09"/>
    <w:rsid w:val="005E420E"/>
    <w:rsid w:val="005E5601"/>
    <w:rsid w:val="005E6621"/>
    <w:rsid w:val="005E73C2"/>
    <w:rsid w:val="005E7E7D"/>
    <w:rsid w:val="005F2D87"/>
    <w:rsid w:val="005F38B8"/>
    <w:rsid w:val="005F535E"/>
    <w:rsid w:val="005F54F6"/>
    <w:rsid w:val="005F5741"/>
    <w:rsid w:val="005F5E92"/>
    <w:rsid w:val="00600F27"/>
    <w:rsid w:val="00601737"/>
    <w:rsid w:val="00601B44"/>
    <w:rsid w:val="00601F49"/>
    <w:rsid w:val="006028F3"/>
    <w:rsid w:val="00604DD7"/>
    <w:rsid w:val="006107D8"/>
    <w:rsid w:val="00610CEC"/>
    <w:rsid w:val="0061358F"/>
    <w:rsid w:val="0061635B"/>
    <w:rsid w:val="00616F33"/>
    <w:rsid w:val="0061792D"/>
    <w:rsid w:val="00621B81"/>
    <w:rsid w:val="006233EE"/>
    <w:rsid w:val="0062462A"/>
    <w:rsid w:val="0062753E"/>
    <w:rsid w:val="00630185"/>
    <w:rsid w:val="00630F21"/>
    <w:rsid w:val="00632013"/>
    <w:rsid w:val="00633262"/>
    <w:rsid w:val="006357CB"/>
    <w:rsid w:val="00636386"/>
    <w:rsid w:val="006369BA"/>
    <w:rsid w:val="006372CD"/>
    <w:rsid w:val="006422F0"/>
    <w:rsid w:val="00642891"/>
    <w:rsid w:val="006443BE"/>
    <w:rsid w:val="00646DCB"/>
    <w:rsid w:val="006519C0"/>
    <w:rsid w:val="00652B8D"/>
    <w:rsid w:val="006542E6"/>
    <w:rsid w:val="00654F60"/>
    <w:rsid w:val="00655CE1"/>
    <w:rsid w:val="00655D94"/>
    <w:rsid w:val="006565F2"/>
    <w:rsid w:val="00660BD6"/>
    <w:rsid w:val="00662CB3"/>
    <w:rsid w:val="0066674A"/>
    <w:rsid w:val="00671E2D"/>
    <w:rsid w:val="006720FE"/>
    <w:rsid w:val="00674E5B"/>
    <w:rsid w:val="006754F7"/>
    <w:rsid w:val="00675A42"/>
    <w:rsid w:val="00675B0E"/>
    <w:rsid w:val="0068181A"/>
    <w:rsid w:val="00682673"/>
    <w:rsid w:val="00682692"/>
    <w:rsid w:val="00683FDB"/>
    <w:rsid w:val="00684734"/>
    <w:rsid w:val="0068693C"/>
    <w:rsid w:val="00693EE4"/>
    <w:rsid w:val="006941CA"/>
    <w:rsid w:val="006969EE"/>
    <w:rsid w:val="00697725"/>
    <w:rsid w:val="00697F7D"/>
    <w:rsid w:val="006A0109"/>
    <w:rsid w:val="006A02B5"/>
    <w:rsid w:val="006A109E"/>
    <w:rsid w:val="006A1E52"/>
    <w:rsid w:val="006A209F"/>
    <w:rsid w:val="006A215D"/>
    <w:rsid w:val="006A2639"/>
    <w:rsid w:val="006A32F3"/>
    <w:rsid w:val="006A3325"/>
    <w:rsid w:val="006A4543"/>
    <w:rsid w:val="006A6C54"/>
    <w:rsid w:val="006A6FF2"/>
    <w:rsid w:val="006A7C71"/>
    <w:rsid w:val="006B0CDE"/>
    <w:rsid w:val="006B0D6C"/>
    <w:rsid w:val="006B3157"/>
    <w:rsid w:val="006B6659"/>
    <w:rsid w:val="006B6E2B"/>
    <w:rsid w:val="006B71E1"/>
    <w:rsid w:val="006B7659"/>
    <w:rsid w:val="006C1CD2"/>
    <w:rsid w:val="006C3BA9"/>
    <w:rsid w:val="006C3BEB"/>
    <w:rsid w:val="006C6B74"/>
    <w:rsid w:val="006C794E"/>
    <w:rsid w:val="006D0AFB"/>
    <w:rsid w:val="006D50D6"/>
    <w:rsid w:val="006D596E"/>
    <w:rsid w:val="006D5E00"/>
    <w:rsid w:val="006E024F"/>
    <w:rsid w:val="006E092C"/>
    <w:rsid w:val="006E2E48"/>
    <w:rsid w:val="006E2F2A"/>
    <w:rsid w:val="006E3C9D"/>
    <w:rsid w:val="006E6DC6"/>
    <w:rsid w:val="006E6E3C"/>
    <w:rsid w:val="006E7E45"/>
    <w:rsid w:val="006F0B42"/>
    <w:rsid w:val="006F2233"/>
    <w:rsid w:val="006F34BB"/>
    <w:rsid w:val="006F3788"/>
    <w:rsid w:val="006F38D4"/>
    <w:rsid w:val="006F4D2A"/>
    <w:rsid w:val="006F6B95"/>
    <w:rsid w:val="006F7E13"/>
    <w:rsid w:val="00700B4F"/>
    <w:rsid w:val="00701658"/>
    <w:rsid w:val="00701B4F"/>
    <w:rsid w:val="007020B3"/>
    <w:rsid w:val="00702FDB"/>
    <w:rsid w:val="0070577C"/>
    <w:rsid w:val="007058E7"/>
    <w:rsid w:val="007101CA"/>
    <w:rsid w:val="007124B4"/>
    <w:rsid w:val="00712A93"/>
    <w:rsid w:val="00713FE8"/>
    <w:rsid w:val="00714EBD"/>
    <w:rsid w:val="00717956"/>
    <w:rsid w:val="0072140F"/>
    <w:rsid w:val="00722965"/>
    <w:rsid w:val="00723B31"/>
    <w:rsid w:val="00723F50"/>
    <w:rsid w:val="00724102"/>
    <w:rsid w:val="00725F5A"/>
    <w:rsid w:val="00726009"/>
    <w:rsid w:val="007309FF"/>
    <w:rsid w:val="00731ACC"/>
    <w:rsid w:val="0073223A"/>
    <w:rsid w:val="00733760"/>
    <w:rsid w:val="0073455B"/>
    <w:rsid w:val="00734BF0"/>
    <w:rsid w:val="0073517F"/>
    <w:rsid w:val="007356CE"/>
    <w:rsid w:val="0073676D"/>
    <w:rsid w:val="00736C9F"/>
    <w:rsid w:val="00737366"/>
    <w:rsid w:val="007404C0"/>
    <w:rsid w:val="00740A7E"/>
    <w:rsid w:val="00740BDC"/>
    <w:rsid w:val="00745505"/>
    <w:rsid w:val="007460F2"/>
    <w:rsid w:val="00747626"/>
    <w:rsid w:val="0074772C"/>
    <w:rsid w:val="00751683"/>
    <w:rsid w:val="00752BFF"/>
    <w:rsid w:val="007535BD"/>
    <w:rsid w:val="00753B7F"/>
    <w:rsid w:val="00755E7C"/>
    <w:rsid w:val="00756654"/>
    <w:rsid w:val="00757511"/>
    <w:rsid w:val="00757599"/>
    <w:rsid w:val="007606D2"/>
    <w:rsid w:val="00761900"/>
    <w:rsid w:val="00762303"/>
    <w:rsid w:val="00763472"/>
    <w:rsid w:val="0076366A"/>
    <w:rsid w:val="00763B2C"/>
    <w:rsid w:val="00763C95"/>
    <w:rsid w:val="007647F5"/>
    <w:rsid w:val="00766493"/>
    <w:rsid w:val="00767EDA"/>
    <w:rsid w:val="00770F32"/>
    <w:rsid w:val="007716B7"/>
    <w:rsid w:val="0077550A"/>
    <w:rsid w:val="00775BF4"/>
    <w:rsid w:val="0077686F"/>
    <w:rsid w:val="00776914"/>
    <w:rsid w:val="00777BD5"/>
    <w:rsid w:val="00781B4F"/>
    <w:rsid w:val="00781BF3"/>
    <w:rsid w:val="007820F6"/>
    <w:rsid w:val="00782BE5"/>
    <w:rsid w:val="00784343"/>
    <w:rsid w:val="00784C90"/>
    <w:rsid w:val="00785AE4"/>
    <w:rsid w:val="0079065D"/>
    <w:rsid w:val="00790983"/>
    <w:rsid w:val="00790E25"/>
    <w:rsid w:val="00790EF9"/>
    <w:rsid w:val="00791599"/>
    <w:rsid w:val="00791B6F"/>
    <w:rsid w:val="00792B42"/>
    <w:rsid w:val="00792BE6"/>
    <w:rsid w:val="00792C03"/>
    <w:rsid w:val="007934D6"/>
    <w:rsid w:val="00794F35"/>
    <w:rsid w:val="007A0BC0"/>
    <w:rsid w:val="007A0D60"/>
    <w:rsid w:val="007A1646"/>
    <w:rsid w:val="007A21FE"/>
    <w:rsid w:val="007A2480"/>
    <w:rsid w:val="007A33CC"/>
    <w:rsid w:val="007A342A"/>
    <w:rsid w:val="007A36EE"/>
    <w:rsid w:val="007A3CEC"/>
    <w:rsid w:val="007A3FE8"/>
    <w:rsid w:val="007A4CAA"/>
    <w:rsid w:val="007A4EB0"/>
    <w:rsid w:val="007A53A4"/>
    <w:rsid w:val="007A5868"/>
    <w:rsid w:val="007A5F49"/>
    <w:rsid w:val="007A6587"/>
    <w:rsid w:val="007B0533"/>
    <w:rsid w:val="007B082A"/>
    <w:rsid w:val="007B2385"/>
    <w:rsid w:val="007B40B2"/>
    <w:rsid w:val="007B5660"/>
    <w:rsid w:val="007B6379"/>
    <w:rsid w:val="007B743B"/>
    <w:rsid w:val="007C09A7"/>
    <w:rsid w:val="007C0C29"/>
    <w:rsid w:val="007C148F"/>
    <w:rsid w:val="007C1D6B"/>
    <w:rsid w:val="007C3EE2"/>
    <w:rsid w:val="007C46E1"/>
    <w:rsid w:val="007C52EB"/>
    <w:rsid w:val="007C60A6"/>
    <w:rsid w:val="007C7FF3"/>
    <w:rsid w:val="007D0EED"/>
    <w:rsid w:val="007D18B2"/>
    <w:rsid w:val="007D1A4E"/>
    <w:rsid w:val="007D235A"/>
    <w:rsid w:val="007D53B2"/>
    <w:rsid w:val="007D614C"/>
    <w:rsid w:val="007D69E0"/>
    <w:rsid w:val="007E04CA"/>
    <w:rsid w:val="007E10CF"/>
    <w:rsid w:val="007E138E"/>
    <w:rsid w:val="007E1879"/>
    <w:rsid w:val="007E42E5"/>
    <w:rsid w:val="007E5E2C"/>
    <w:rsid w:val="007E6611"/>
    <w:rsid w:val="007E68A2"/>
    <w:rsid w:val="007E6D40"/>
    <w:rsid w:val="007F0C8C"/>
    <w:rsid w:val="007F138E"/>
    <w:rsid w:val="007F41AE"/>
    <w:rsid w:val="007F44DB"/>
    <w:rsid w:val="007F58F5"/>
    <w:rsid w:val="007F5A81"/>
    <w:rsid w:val="007F6D84"/>
    <w:rsid w:val="00801120"/>
    <w:rsid w:val="00801136"/>
    <w:rsid w:val="0080171C"/>
    <w:rsid w:val="0080179C"/>
    <w:rsid w:val="008036C6"/>
    <w:rsid w:val="00805096"/>
    <w:rsid w:val="00807102"/>
    <w:rsid w:val="00807115"/>
    <w:rsid w:val="008072B8"/>
    <w:rsid w:val="0080757D"/>
    <w:rsid w:val="008078BB"/>
    <w:rsid w:val="00811C25"/>
    <w:rsid w:val="0081322F"/>
    <w:rsid w:val="008141B7"/>
    <w:rsid w:val="00816520"/>
    <w:rsid w:val="00820937"/>
    <w:rsid w:val="0082139D"/>
    <w:rsid w:val="0082144F"/>
    <w:rsid w:val="008224BE"/>
    <w:rsid w:val="0082339E"/>
    <w:rsid w:val="008234BE"/>
    <w:rsid w:val="00824604"/>
    <w:rsid w:val="008246B4"/>
    <w:rsid w:val="00825336"/>
    <w:rsid w:val="008254C4"/>
    <w:rsid w:val="0082567A"/>
    <w:rsid w:val="008256AB"/>
    <w:rsid w:val="008267C6"/>
    <w:rsid w:val="00827398"/>
    <w:rsid w:val="008278EB"/>
    <w:rsid w:val="00827FA5"/>
    <w:rsid w:val="0083036A"/>
    <w:rsid w:val="00830C36"/>
    <w:rsid w:val="00831CD8"/>
    <w:rsid w:val="00832CF4"/>
    <w:rsid w:val="00833CC7"/>
    <w:rsid w:val="00834E3A"/>
    <w:rsid w:val="00836D0E"/>
    <w:rsid w:val="00843761"/>
    <w:rsid w:val="00843D16"/>
    <w:rsid w:val="00844898"/>
    <w:rsid w:val="00846A4C"/>
    <w:rsid w:val="00847B71"/>
    <w:rsid w:val="0085264B"/>
    <w:rsid w:val="0085290B"/>
    <w:rsid w:val="00856932"/>
    <w:rsid w:val="00860148"/>
    <w:rsid w:val="0086060B"/>
    <w:rsid w:val="00860D80"/>
    <w:rsid w:val="00860FDE"/>
    <w:rsid w:val="00861696"/>
    <w:rsid w:val="008620D7"/>
    <w:rsid w:val="008653D9"/>
    <w:rsid w:val="0086656E"/>
    <w:rsid w:val="00871416"/>
    <w:rsid w:val="00871427"/>
    <w:rsid w:val="00871757"/>
    <w:rsid w:val="008719A1"/>
    <w:rsid w:val="00871AC5"/>
    <w:rsid w:val="0087303B"/>
    <w:rsid w:val="008738D2"/>
    <w:rsid w:val="00876B87"/>
    <w:rsid w:val="00877461"/>
    <w:rsid w:val="00877C5F"/>
    <w:rsid w:val="00877D7E"/>
    <w:rsid w:val="00881CE9"/>
    <w:rsid w:val="0088367C"/>
    <w:rsid w:val="008857B0"/>
    <w:rsid w:val="00885A3E"/>
    <w:rsid w:val="008867E8"/>
    <w:rsid w:val="00886F22"/>
    <w:rsid w:val="00887057"/>
    <w:rsid w:val="0089124F"/>
    <w:rsid w:val="008937C2"/>
    <w:rsid w:val="00893C4A"/>
    <w:rsid w:val="00893EDA"/>
    <w:rsid w:val="0089478E"/>
    <w:rsid w:val="00896C7F"/>
    <w:rsid w:val="00897A79"/>
    <w:rsid w:val="008A114D"/>
    <w:rsid w:val="008A178E"/>
    <w:rsid w:val="008A197F"/>
    <w:rsid w:val="008A213E"/>
    <w:rsid w:val="008A4A60"/>
    <w:rsid w:val="008A4CAF"/>
    <w:rsid w:val="008A52A7"/>
    <w:rsid w:val="008A605A"/>
    <w:rsid w:val="008A7899"/>
    <w:rsid w:val="008B2C6E"/>
    <w:rsid w:val="008B3638"/>
    <w:rsid w:val="008B58F5"/>
    <w:rsid w:val="008B6768"/>
    <w:rsid w:val="008B6818"/>
    <w:rsid w:val="008B6938"/>
    <w:rsid w:val="008B6BD2"/>
    <w:rsid w:val="008B7019"/>
    <w:rsid w:val="008C0977"/>
    <w:rsid w:val="008C0C67"/>
    <w:rsid w:val="008C1D6B"/>
    <w:rsid w:val="008C2CDF"/>
    <w:rsid w:val="008C49EB"/>
    <w:rsid w:val="008C5608"/>
    <w:rsid w:val="008C579A"/>
    <w:rsid w:val="008C6EB8"/>
    <w:rsid w:val="008C7F0C"/>
    <w:rsid w:val="008D4212"/>
    <w:rsid w:val="008D42CC"/>
    <w:rsid w:val="008D5520"/>
    <w:rsid w:val="008D5D75"/>
    <w:rsid w:val="008D74C2"/>
    <w:rsid w:val="008E153A"/>
    <w:rsid w:val="008E2027"/>
    <w:rsid w:val="008E2189"/>
    <w:rsid w:val="008E2848"/>
    <w:rsid w:val="008E3F33"/>
    <w:rsid w:val="008E4DF0"/>
    <w:rsid w:val="008E5BF4"/>
    <w:rsid w:val="008E79CB"/>
    <w:rsid w:val="008F1106"/>
    <w:rsid w:val="008F1B89"/>
    <w:rsid w:val="008F1EE5"/>
    <w:rsid w:val="008F2762"/>
    <w:rsid w:val="008F50BA"/>
    <w:rsid w:val="008F5278"/>
    <w:rsid w:val="008F531F"/>
    <w:rsid w:val="008F54A2"/>
    <w:rsid w:val="008F7846"/>
    <w:rsid w:val="009002A5"/>
    <w:rsid w:val="00901075"/>
    <w:rsid w:val="00901319"/>
    <w:rsid w:val="00902268"/>
    <w:rsid w:val="009022E2"/>
    <w:rsid w:val="00903492"/>
    <w:rsid w:val="009050A0"/>
    <w:rsid w:val="00905A85"/>
    <w:rsid w:val="009060C1"/>
    <w:rsid w:val="00906894"/>
    <w:rsid w:val="0091054D"/>
    <w:rsid w:val="00910792"/>
    <w:rsid w:val="009111E0"/>
    <w:rsid w:val="009113EE"/>
    <w:rsid w:val="00912BEA"/>
    <w:rsid w:val="0091722D"/>
    <w:rsid w:val="00920E84"/>
    <w:rsid w:val="0092179E"/>
    <w:rsid w:val="00922CC6"/>
    <w:rsid w:val="009242BF"/>
    <w:rsid w:val="009252C9"/>
    <w:rsid w:val="00925816"/>
    <w:rsid w:val="00926BD4"/>
    <w:rsid w:val="00934908"/>
    <w:rsid w:val="0093534D"/>
    <w:rsid w:val="00936346"/>
    <w:rsid w:val="009370DC"/>
    <w:rsid w:val="00937149"/>
    <w:rsid w:val="0094024F"/>
    <w:rsid w:val="0094070D"/>
    <w:rsid w:val="0094169C"/>
    <w:rsid w:val="0094205A"/>
    <w:rsid w:val="00946781"/>
    <w:rsid w:val="0095218D"/>
    <w:rsid w:val="00953AA1"/>
    <w:rsid w:val="00953CD8"/>
    <w:rsid w:val="00957519"/>
    <w:rsid w:val="0096205B"/>
    <w:rsid w:val="00964822"/>
    <w:rsid w:val="0096483A"/>
    <w:rsid w:val="0096519A"/>
    <w:rsid w:val="0096567F"/>
    <w:rsid w:val="0096580E"/>
    <w:rsid w:val="00965E49"/>
    <w:rsid w:val="009672BB"/>
    <w:rsid w:val="00970B15"/>
    <w:rsid w:val="009751C4"/>
    <w:rsid w:val="00976FE8"/>
    <w:rsid w:val="00983B7E"/>
    <w:rsid w:val="00983C30"/>
    <w:rsid w:val="00983CE7"/>
    <w:rsid w:val="00983D3D"/>
    <w:rsid w:val="00983E7D"/>
    <w:rsid w:val="00984037"/>
    <w:rsid w:val="00985066"/>
    <w:rsid w:val="00985534"/>
    <w:rsid w:val="0098554E"/>
    <w:rsid w:val="009858A1"/>
    <w:rsid w:val="009867A8"/>
    <w:rsid w:val="0098743B"/>
    <w:rsid w:val="00991449"/>
    <w:rsid w:val="00991D6C"/>
    <w:rsid w:val="0099284C"/>
    <w:rsid w:val="00992B3B"/>
    <w:rsid w:val="0099368F"/>
    <w:rsid w:val="00995AC7"/>
    <w:rsid w:val="00995DFC"/>
    <w:rsid w:val="009A1AD8"/>
    <w:rsid w:val="009A2767"/>
    <w:rsid w:val="009A281C"/>
    <w:rsid w:val="009A2B49"/>
    <w:rsid w:val="009A3EEE"/>
    <w:rsid w:val="009A6663"/>
    <w:rsid w:val="009B0565"/>
    <w:rsid w:val="009B5F5F"/>
    <w:rsid w:val="009B7C3B"/>
    <w:rsid w:val="009B7E3C"/>
    <w:rsid w:val="009C23D8"/>
    <w:rsid w:val="009C3CC8"/>
    <w:rsid w:val="009C4F30"/>
    <w:rsid w:val="009C5F8F"/>
    <w:rsid w:val="009C670C"/>
    <w:rsid w:val="009C75EF"/>
    <w:rsid w:val="009C7727"/>
    <w:rsid w:val="009D0089"/>
    <w:rsid w:val="009D041F"/>
    <w:rsid w:val="009D0F28"/>
    <w:rsid w:val="009D16A1"/>
    <w:rsid w:val="009D1A22"/>
    <w:rsid w:val="009D1FA5"/>
    <w:rsid w:val="009D3246"/>
    <w:rsid w:val="009D35E5"/>
    <w:rsid w:val="009D3BBB"/>
    <w:rsid w:val="009D4045"/>
    <w:rsid w:val="009D414E"/>
    <w:rsid w:val="009D4B52"/>
    <w:rsid w:val="009D5203"/>
    <w:rsid w:val="009E1BF8"/>
    <w:rsid w:val="009E1C16"/>
    <w:rsid w:val="009E28D8"/>
    <w:rsid w:val="009E328A"/>
    <w:rsid w:val="009E3525"/>
    <w:rsid w:val="009E3530"/>
    <w:rsid w:val="009E39AC"/>
    <w:rsid w:val="009E4053"/>
    <w:rsid w:val="009E4B62"/>
    <w:rsid w:val="009E6FDD"/>
    <w:rsid w:val="009F2662"/>
    <w:rsid w:val="009F270F"/>
    <w:rsid w:val="009F37F1"/>
    <w:rsid w:val="009F3C7C"/>
    <w:rsid w:val="009F3E21"/>
    <w:rsid w:val="009F4CE8"/>
    <w:rsid w:val="009F6CD6"/>
    <w:rsid w:val="009F7329"/>
    <w:rsid w:val="009F7A38"/>
    <w:rsid w:val="00A04535"/>
    <w:rsid w:val="00A05A5B"/>
    <w:rsid w:val="00A12C27"/>
    <w:rsid w:val="00A13427"/>
    <w:rsid w:val="00A13DBD"/>
    <w:rsid w:val="00A14F2B"/>
    <w:rsid w:val="00A15693"/>
    <w:rsid w:val="00A15A17"/>
    <w:rsid w:val="00A15A20"/>
    <w:rsid w:val="00A16290"/>
    <w:rsid w:val="00A16466"/>
    <w:rsid w:val="00A168C2"/>
    <w:rsid w:val="00A174BD"/>
    <w:rsid w:val="00A228B6"/>
    <w:rsid w:val="00A22F9B"/>
    <w:rsid w:val="00A26078"/>
    <w:rsid w:val="00A2679A"/>
    <w:rsid w:val="00A271CE"/>
    <w:rsid w:val="00A30FDE"/>
    <w:rsid w:val="00A31BC6"/>
    <w:rsid w:val="00A32395"/>
    <w:rsid w:val="00A33754"/>
    <w:rsid w:val="00A33DE2"/>
    <w:rsid w:val="00A35060"/>
    <w:rsid w:val="00A35418"/>
    <w:rsid w:val="00A35C0B"/>
    <w:rsid w:val="00A365FD"/>
    <w:rsid w:val="00A37E00"/>
    <w:rsid w:val="00A41C34"/>
    <w:rsid w:val="00A428B2"/>
    <w:rsid w:val="00A42ABC"/>
    <w:rsid w:val="00A42BBC"/>
    <w:rsid w:val="00A43B0E"/>
    <w:rsid w:val="00A44EA4"/>
    <w:rsid w:val="00A44F19"/>
    <w:rsid w:val="00A45E5D"/>
    <w:rsid w:val="00A46957"/>
    <w:rsid w:val="00A47BC2"/>
    <w:rsid w:val="00A47CFD"/>
    <w:rsid w:val="00A5050A"/>
    <w:rsid w:val="00A51676"/>
    <w:rsid w:val="00A51A56"/>
    <w:rsid w:val="00A51D5C"/>
    <w:rsid w:val="00A523CE"/>
    <w:rsid w:val="00A5373F"/>
    <w:rsid w:val="00A54535"/>
    <w:rsid w:val="00A55909"/>
    <w:rsid w:val="00A55A37"/>
    <w:rsid w:val="00A56D79"/>
    <w:rsid w:val="00A57157"/>
    <w:rsid w:val="00A603FD"/>
    <w:rsid w:val="00A606B3"/>
    <w:rsid w:val="00A60ACF"/>
    <w:rsid w:val="00A613EB"/>
    <w:rsid w:val="00A61723"/>
    <w:rsid w:val="00A6191A"/>
    <w:rsid w:val="00A62698"/>
    <w:rsid w:val="00A62A41"/>
    <w:rsid w:val="00A63CF2"/>
    <w:rsid w:val="00A65480"/>
    <w:rsid w:val="00A669F6"/>
    <w:rsid w:val="00A66D58"/>
    <w:rsid w:val="00A706FE"/>
    <w:rsid w:val="00A70CC5"/>
    <w:rsid w:val="00A713E9"/>
    <w:rsid w:val="00A73CA8"/>
    <w:rsid w:val="00A74570"/>
    <w:rsid w:val="00A746B2"/>
    <w:rsid w:val="00A7472A"/>
    <w:rsid w:val="00A74BED"/>
    <w:rsid w:val="00A754A1"/>
    <w:rsid w:val="00A75B5A"/>
    <w:rsid w:val="00A76E37"/>
    <w:rsid w:val="00A80691"/>
    <w:rsid w:val="00A81539"/>
    <w:rsid w:val="00A820EF"/>
    <w:rsid w:val="00A83335"/>
    <w:rsid w:val="00A86061"/>
    <w:rsid w:val="00A914AD"/>
    <w:rsid w:val="00A921A1"/>
    <w:rsid w:val="00A93459"/>
    <w:rsid w:val="00A93FDC"/>
    <w:rsid w:val="00A94168"/>
    <w:rsid w:val="00AA12A4"/>
    <w:rsid w:val="00AA18D6"/>
    <w:rsid w:val="00AA39EF"/>
    <w:rsid w:val="00AA4BC0"/>
    <w:rsid w:val="00AA58AD"/>
    <w:rsid w:val="00AA5EBB"/>
    <w:rsid w:val="00AA620A"/>
    <w:rsid w:val="00AA6233"/>
    <w:rsid w:val="00AA70EE"/>
    <w:rsid w:val="00AB0B8C"/>
    <w:rsid w:val="00AB112C"/>
    <w:rsid w:val="00AB2D4E"/>
    <w:rsid w:val="00AB3062"/>
    <w:rsid w:val="00AB3DD4"/>
    <w:rsid w:val="00AB790C"/>
    <w:rsid w:val="00AB7C37"/>
    <w:rsid w:val="00AC10A5"/>
    <w:rsid w:val="00AC1B8B"/>
    <w:rsid w:val="00AC20EC"/>
    <w:rsid w:val="00AC3800"/>
    <w:rsid w:val="00AC42F7"/>
    <w:rsid w:val="00AD023D"/>
    <w:rsid w:val="00AD0B5B"/>
    <w:rsid w:val="00AD31BB"/>
    <w:rsid w:val="00AD47DC"/>
    <w:rsid w:val="00AD4CCA"/>
    <w:rsid w:val="00AE0301"/>
    <w:rsid w:val="00AE1FE8"/>
    <w:rsid w:val="00AE26F6"/>
    <w:rsid w:val="00AE2815"/>
    <w:rsid w:val="00AE3DBB"/>
    <w:rsid w:val="00AE43B2"/>
    <w:rsid w:val="00AE4B0E"/>
    <w:rsid w:val="00AE4C23"/>
    <w:rsid w:val="00AE58B0"/>
    <w:rsid w:val="00AE59C8"/>
    <w:rsid w:val="00AE5AE6"/>
    <w:rsid w:val="00AE6373"/>
    <w:rsid w:val="00AE759A"/>
    <w:rsid w:val="00AF04EF"/>
    <w:rsid w:val="00AF0662"/>
    <w:rsid w:val="00AF0879"/>
    <w:rsid w:val="00AF177C"/>
    <w:rsid w:val="00AF1E0F"/>
    <w:rsid w:val="00AF2306"/>
    <w:rsid w:val="00AF38B9"/>
    <w:rsid w:val="00AF4068"/>
    <w:rsid w:val="00AF4FC5"/>
    <w:rsid w:val="00AF61A6"/>
    <w:rsid w:val="00AF6368"/>
    <w:rsid w:val="00AF666B"/>
    <w:rsid w:val="00AF69EE"/>
    <w:rsid w:val="00AF6F97"/>
    <w:rsid w:val="00AF71F3"/>
    <w:rsid w:val="00AF7DF1"/>
    <w:rsid w:val="00B00CCE"/>
    <w:rsid w:val="00B01AB5"/>
    <w:rsid w:val="00B02915"/>
    <w:rsid w:val="00B0352F"/>
    <w:rsid w:val="00B03C38"/>
    <w:rsid w:val="00B05FC5"/>
    <w:rsid w:val="00B111AD"/>
    <w:rsid w:val="00B11C96"/>
    <w:rsid w:val="00B12070"/>
    <w:rsid w:val="00B14FD3"/>
    <w:rsid w:val="00B15C57"/>
    <w:rsid w:val="00B163C2"/>
    <w:rsid w:val="00B16900"/>
    <w:rsid w:val="00B16C3F"/>
    <w:rsid w:val="00B1737E"/>
    <w:rsid w:val="00B176E0"/>
    <w:rsid w:val="00B21AB9"/>
    <w:rsid w:val="00B21F10"/>
    <w:rsid w:val="00B22771"/>
    <w:rsid w:val="00B23544"/>
    <w:rsid w:val="00B23660"/>
    <w:rsid w:val="00B2409B"/>
    <w:rsid w:val="00B24240"/>
    <w:rsid w:val="00B24700"/>
    <w:rsid w:val="00B2673F"/>
    <w:rsid w:val="00B26C82"/>
    <w:rsid w:val="00B26FD0"/>
    <w:rsid w:val="00B272D2"/>
    <w:rsid w:val="00B30152"/>
    <w:rsid w:val="00B30B51"/>
    <w:rsid w:val="00B32297"/>
    <w:rsid w:val="00B326C5"/>
    <w:rsid w:val="00B32846"/>
    <w:rsid w:val="00B33FA9"/>
    <w:rsid w:val="00B34664"/>
    <w:rsid w:val="00B3505C"/>
    <w:rsid w:val="00B3691C"/>
    <w:rsid w:val="00B37275"/>
    <w:rsid w:val="00B374A7"/>
    <w:rsid w:val="00B37ED5"/>
    <w:rsid w:val="00B40224"/>
    <w:rsid w:val="00B409B1"/>
    <w:rsid w:val="00B4106C"/>
    <w:rsid w:val="00B41360"/>
    <w:rsid w:val="00B41D76"/>
    <w:rsid w:val="00B456C1"/>
    <w:rsid w:val="00B50362"/>
    <w:rsid w:val="00B5428D"/>
    <w:rsid w:val="00B5544B"/>
    <w:rsid w:val="00B55EAB"/>
    <w:rsid w:val="00B62CDB"/>
    <w:rsid w:val="00B634A9"/>
    <w:rsid w:val="00B66266"/>
    <w:rsid w:val="00B67163"/>
    <w:rsid w:val="00B6730C"/>
    <w:rsid w:val="00B67605"/>
    <w:rsid w:val="00B67D13"/>
    <w:rsid w:val="00B70076"/>
    <w:rsid w:val="00B75783"/>
    <w:rsid w:val="00B761A8"/>
    <w:rsid w:val="00B764E5"/>
    <w:rsid w:val="00B7735A"/>
    <w:rsid w:val="00B77966"/>
    <w:rsid w:val="00B77D5A"/>
    <w:rsid w:val="00B805D8"/>
    <w:rsid w:val="00B83243"/>
    <w:rsid w:val="00B848AE"/>
    <w:rsid w:val="00B86B32"/>
    <w:rsid w:val="00B87132"/>
    <w:rsid w:val="00B8773D"/>
    <w:rsid w:val="00B87FFA"/>
    <w:rsid w:val="00B90655"/>
    <w:rsid w:val="00B90D8E"/>
    <w:rsid w:val="00B913CC"/>
    <w:rsid w:val="00B919A0"/>
    <w:rsid w:val="00B91D92"/>
    <w:rsid w:val="00B92592"/>
    <w:rsid w:val="00B92771"/>
    <w:rsid w:val="00B92E3C"/>
    <w:rsid w:val="00B94091"/>
    <w:rsid w:val="00B95D1F"/>
    <w:rsid w:val="00B974E5"/>
    <w:rsid w:val="00B97741"/>
    <w:rsid w:val="00BA095A"/>
    <w:rsid w:val="00BA1AA8"/>
    <w:rsid w:val="00BA29D7"/>
    <w:rsid w:val="00BA5B0F"/>
    <w:rsid w:val="00BB17B5"/>
    <w:rsid w:val="00BB4C80"/>
    <w:rsid w:val="00BB659A"/>
    <w:rsid w:val="00BB7C7A"/>
    <w:rsid w:val="00BC2B5D"/>
    <w:rsid w:val="00BC526C"/>
    <w:rsid w:val="00BD0AA8"/>
    <w:rsid w:val="00BD11B0"/>
    <w:rsid w:val="00BD1256"/>
    <w:rsid w:val="00BD1CB7"/>
    <w:rsid w:val="00BD25D1"/>
    <w:rsid w:val="00BD2E03"/>
    <w:rsid w:val="00BD3AA3"/>
    <w:rsid w:val="00BD3BAF"/>
    <w:rsid w:val="00BD53E7"/>
    <w:rsid w:val="00BD6826"/>
    <w:rsid w:val="00BD6ADF"/>
    <w:rsid w:val="00BD7BB7"/>
    <w:rsid w:val="00BD7DC8"/>
    <w:rsid w:val="00BE0A26"/>
    <w:rsid w:val="00BE3611"/>
    <w:rsid w:val="00BE371A"/>
    <w:rsid w:val="00BE443B"/>
    <w:rsid w:val="00BE545A"/>
    <w:rsid w:val="00BF0ABB"/>
    <w:rsid w:val="00BF17A3"/>
    <w:rsid w:val="00BF26F8"/>
    <w:rsid w:val="00BF2AD2"/>
    <w:rsid w:val="00BF2B88"/>
    <w:rsid w:val="00BF3354"/>
    <w:rsid w:val="00BF391E"/>
    <w:rsid w:val="00BF524A"/>
    <w:rsid w:val="00BF5EA3"/>
    <w:rsid w:val="00BF6C9C"/>
    <w:rsid w:val="00C00507"/>
    <w:rsid w:val="00C00CAD"/>
    <w:rsid w:val="00C022C7"/>
    <w:rsid w:val="00C030DD"/>
    <w:rsid w:val="00C037A5"/>
    <w:rsid w:val="00C04269"/>
    <w:rsid w:val="00C05172"/>
    <w:rsid w:val="00C06C78"/>
    <w:rsid w:val="00C06E91"/>
    <w:rsid w:val="00C0703E"/>
    <w:rsid w:val="00C072ED"/>
    <w:rsid w:val="00C10E41"/>
    <w:rsid w:val="00C118F4"/>
    <w:rsid w:val="00C15610"/>
    <w:rsid w:val="00C169BB"/>
    <w:rsid w:val="00C17015"/>
    <w:rsid w:val="00C17E6E"/>
    <w:rsid w:val="00C20B01"/>
    <w:rsid w:val="00C21964"/>
    <w:rsid w:val="00C22785"/>
    <w:rsid w:val="00C22992"/>
    <w:rsid w:val="00C229ED"/>
    <w:rsid w:val="00C242A7"/>
    <w:rsid w:val="00C24573"/>
    <w:rsid w:val="00C24583"/>
    <w:rsid w:val="00C27AE0"/>
    <w:rsid w:val="00C27C93"/>
    <w:rsid w:val="00C27F68"/>
    <w:rsid w:val="00C30B52"/>
    <w:rsid w:val="00C31E26"/>
    <w:rsid w:val="00C32C2B"/>
    <w:rsid w:val="00C33417"/>
    <w:rsid w:val="00C33B84"/>
    <w:rsid w:val="00C33FC0"/>
    <w:rsid w:val="00C37419"/>
    <w:rsid w:val="00C37A52"/>
    <w:rsid w:val="00C41BE3"/>
    <w:rsid w:val="00C41C0F"/>
    <w:rsid w:val="00C429FB"/>
    <w:rsid w:val="00C43455"/>
    <w:rsid w:val="00C43458"/>
    <w:rsid w:val="00C43986"/>
    <w:rsid w:val="00C478CF"/>
    <w:rsid w:val="00C51C59"/>
    <w:rsid w:val="00C54096"/>
    <w:rsid w:val="00C54AD7"/>
    <w:rsid w:val="00C54CC4"/>
    <w:rsid w:val="00C57414"/>
    <w:rsid w:val="00C57C7B"/>
    <w:rsid w:val="00C611EF"/>
    <w:rsid w:val="00C617D5"/>
    <w:rsid w:val="00C62D41"/>
    <w:rsid w:val="00C62DAC"/>
    <w:rsid w:val="00C62FD5"/>
    <w:rsid w:val="00C6319F"/>
    <w:rsid w:val="00C639A3"/>
    <w:rsid w:val="00C63F55"/>
    <w:rsid w:val="00C64EB0"/>
    <w:rsid w:val="00C65613"/>
    <w:rsid w:val="00C66D26"/>
    <w:rsid w:val="00C67A41"/>
    <w:rsid w:val="00C67CE9"/>
    <w:rsid w:val="00C70158"/>
    <w:rsid w:val="00C71BA1"/>
    <w:rsid w:val="00C731AD"/>
    <w:rsid w:val="00C73211"/>
    <w:rsid w:val="00C73B61"/>
    <w:rsid w:val="00C74BBD"/>
    <w:rsid w:val="00C80380"/>
    <w:rsid w:val="00C809EE"/>
    <w:rsid w:val="00C80F78"/>
    <w:rsid w:val="00C83D06"/>
    <w:rsid w:val="00C83D90"/>
    <w:rsid w:val="00C84426"/>
    <w:rsid w:val="00C913C3"/>
    <w:rsid w:val="00C91712"/>
    <w:rsid w:val="00C946A8"/>
    <w:rsid w:val="00C96940"/>
    <w:rsid w:val="00C96B62"/>
    <w:rsid w:val="00C97E0B"/>
    <w:rsid w:val="00CA01B2"/>
    <w:rsid w:val="00CA0257"/>
    <w:rsid w:val="00CA1CE1"/>
    <w:rsid w:val="00CA2FC2"/>
    <w:rsid w:val="00CA3456"/>
    <w:rsid w:val="00CA37BD"/>
    <w:rsid w:val="00CA5535"/>
    <w:rsid w:val="00CB0F3C"/>
    <w:rsid w:val="00CB1A50"/>
    <w:rsid w:val="00CB369E"/>
    <w:rsid w:val="00CB3B2D"/>
    <w:rsid w:val="00CB4274"/>
    <w:rsid w:val="00CB4329"/>
    <w:rsid w:val="00CB51FC"/>
    <w:rsid w:val="00CB5D7B"/>
    <w:rsid w:val="00CB6DBF"/>
    <w:rsid w:val="00CB7C0A"/>
    <w:rsid w:val="00CC1276"/>
    <w:rsid w:val="00CC16E0"/>
    <w:rsid w:val="00CC1968"/>
    <w:rsid w:val="00CC32A8"/>
    <w:rsid w:val="00CC395C"/>
    <w:rsid w:val="00CC3D02"/>
    <w:rsid w:val="00CC723A"/>
    <w:rsid w:val="00CD0627"/>
    <w:rsid w:val="00CD0FD6"/>
    <w:rsid w:val="00CD2429"/>
    <w:rsid w:val="00CD2A6F"/>
    <w:rsid w:val="00CD43C6"/>
    <w:rsid w:val="00CD5519"/>
    <w:rsid w:val="00CD6213"/>
    <w:rsid w:val="00CD649F"/>
    <w:rsid w:val="00CD7C52"/>
    <w:rsid w:val="00CE2E5F"/>
    <w:rsid w:val="00CE2F86"/>
    <w:rsid w:val="00CE45B9"/>
    <w:rsid w:val="00CE5A76"/>
    <w:rsid w:val="00CE5B8A"/>
    <w:rsid w:val="00CE6603"/>
    <w:rsid w:val="00CF02F7"/>
    <w:rsid w:val="00CF23F6"/>
    <w:rsid w:val="00CF30A0"/>
    <w:rsid w:val="00CF48D2"/>
    <w:rsid w:val="00CF5E62"/>
    <w:rsid w:val="00CF699C"/>
    <w:rsid w:val="00CF77FE"/>
    <w:rsid w:val="00CF7F2A"/>
    <w:rsid w:val="00D01848"/>
    <w:rsid w:val="00D01E5A"/>
    <w:rsid w:val="00D04292"/>
    <w:rsid w:val="00D124FC"/>
    <w:rsid w:val="00D13647"/>
    <w:rsid w:val="00D136D1"/>
    <w:rsid w:val="00D14669"/>
    <w:rsid w:val="00D153A2"/>
    <w:rsid w:val="00D15DA0"/>
    <w:rsid w:val="00D17994"/>
    <w:rsid w:val="00D17E85"/>
    <w:rsid w:val="00D2023E"/>
    <w:rsid w:val="00D203E4"/>
    <w:rsid w:val="00D221AE"/>
    <w:rsid w:val="00D2324E"/>
    <w:rsid w:val="00D23D74"/>
    <w:rsid w:val="00D2491A"/>
    <w:rsid w:val="00D25363"/>
    <w:rsid w:val="00D25AE6"/>
    <w:rsid w:val="00D26587"/>
    <w:rsid w:val="00D2784A"/>
    <w:rsid w:val="00D311FE"/>
    <w:rsid w:val="00D31314"/>
    <w:rsid w:val="00D31903"/>
    <w:rsid w:val="00D31AC5"/>
    <w:rsid w:val="00D31BAC"/>
    <w:rsid w:val="00D33347"/>
    <w:rsid w:val="00D33465"/>
    <w:rsid w:val="00D33DF7"/>
    <w:rsid w:val="00D33F06"/>
    <w:rsid w:val="00D33FCC"/>
    <w:rsid w:val="00D34BC6"/>
    <w:rsid w:val="00D36EA9"/>
    <w:rsid w:val="00D37C71"/>
    <w:rsid w:val="00D40281"/>
    <w:rsid w:val="00D4386B"/>
    <w:rsid w:val="00D440DE"/>
    <w:rsid w:val="00D444F3"/>
    <w:rsid w:val="00D44F64"/>
    <w:rsid w:val="00D46400"/>
    <w:rsid w:val="00D472E3"/>
    <w:rsid w:val="00D47876"/>
    <w:rsid w:val="00D47D22"/>
    <w:rsid w:val="00D52A7C"/>
    <w:rsid w:val="00D5390F"/>
    <w:rsid w:val="00D53BAB"/>
    <w:rsid w:val="00D54B77"/>
    <w:rsid w:val="00D55EA2"/>
    <w:rsid w:val="00D567DD"/>
    <w:rsid w:val="00D571C2"/>
    <w:rsid w:val="00D5765D"/>
    <w:rsid w:val="00D578FC"/>
    <w:rsid w:val="00D57A24"/>
    <w:rsid w:val="00D611B9"/>
    <w:rsid w:val="00D61CD0"/>
    <w:rsid w:val="00D62458"/>
    <w:rsid w:val="00D62A95"/>
    <w:rsid w:val="00D62EDC"/>
    <w:rsid w:val="00D65DB4"/>
    <w:rsid w:val="00D7063B"/>
    <w:rsid w:val="00D71922"/>
    <w:rsid w:val="00D72B20"/>
    <w:rsid w:val="00D7322A"/>
    <w:rsid w:val="00D738C0"/>
    <w:rsid w:val="00D74E15"/>
    <w:rsid w:val="00D750A4"/>
    <w:rsid w:val="00D7769E"/>
    <w:rsid w:val="00D809DE"/>
    <w:rsid w:val="00D80B66"/>
    <w:rsid w:val="00D826BF"/>
    <w:rsid w:val="00D831B8"/>
    <w:rsid w:val="00D837EC"/>
    <w:rsid w:val="00D84991"/>
    <w:rsid w:val="00D85681"/>
    <w:rsid w:val="00D85F4F"/>
    <w:rsid w:val="00D86EB8"/>
    <w:rsid w:val="00D87831"/>
    <w:rsid w:val="00D9097F"/>
    <w:rsid w:val="00D90C86"/>
    <w:rsid w:val="00D91DAD"/>
    <w:rsid w:val="00D93073"/>
    <w:rsid w:val="00DA1AEB"/>
    <w:rsid w:val="00DA230B"/>
    <w:rsid w:val="00DA3DD5"/>
    <w:rsid w:val="00DA4766"/>
    <w:rsid w:val="00DA6F88"/>
    <w:rsid w:val="00DB061D"/>
    <w:rsid w:val="00DB2990"/>
    <w:rsid w:val="00DB2D7D"/>
    <w:rsid w:val="00DB3661"/>
    <w:rsid w:val="00DC0286"/>
    <w:rsid w:val="00DC04E2"/>
    <w:rsid w:val="00DC0D25"/>
    <w:rsid w:val="00DC0DD8"/>
    <w:rsid w:val="00DC16A6"/>
    <w:rsid w:val="00DC1EB9"/>
    <w:rsid w:val="00DC24D7"/>
    <w:rsid w:val="00DC2E8B"/>
    <w:rsid w:val="00DC4DFA"/>
    <w:rsid w:val="00DC51A0"/>
    <w:rsid w:val="00DC634A"/>
    <w:rsid w:val="00DC681C"/>
    <w:rsid w:val="00DC6C03"/>
    <w:rsid w:val="00DD0598"/>
    <w:rsid w:val="00DD097E"/>
    <w:rsid w:val="00DD13DC"/>
    <w:rsid w:val="00DD1499"/>
    <w:rsid w:val="00DD654F"/>
    <w:rsid w:val="00DD65B1"/>
    <w:rsid w:val="00DD6C97"/>
    <w:rsid w:val="00DD75A0"/>
    <w:rsid w:val="00DD7BFC"/>
    <w:rsid w:val="00DE14DA"/>
    <w:rsid w:val="00DE332A"/>
    <w:rsid w:val="00DE4C45"/>
    <w:rsid w:val="00DE4F4E"/>
    <w:rsid w:val="00DE53E7"/>
    <w:rsid w:val="00DE5A0F"/>
    <w:rsid w:val="00DE6074"/>
    <w:rsid w:val="00DF089B"/>
    <w:rsid w:val="00DF09C6"/>
    <w:rsid w:val="00DF16DD"/>
    <w:rsid w:val="00DF18D2"/>
    <w:rsid w:val="00DF2EB6"/>
    <w:rsid w:val="00DF32EF"/>
    <w:rsid w:val="00DF35CF"/>
    <w:rsid w:val="00DF3FE2"/>
    <w:rsid w:val="00DF43E6"/>
    <w:rsid w:val="00DF65A4"/>
    <w:rsid w:val="00E01DBF"/>
    <w:rsid w:val="00E01E2A"/>
    <w:rsid w:val="00E0200A"/>
    <w:rsid w:val="00E022C9"/>
    <w:rsid w:val="00E02934"/>
    <w:rsid w:val="00E02CFE"/>
    <w:rsid w:val="00E035D0"/>
    <w:rsid w:val="00E03FD5"/>
    <w:rsid w:val="00E04C86"/>
    <w:rsid w:val="00E04F67"/>
    <w:rsid w:val="00E05449"/>
    <w:rsid w:val="00E0587B"/>
    <w:rsid w:val="00E0674A"/>
    <w:rsid w:val="00E1148F"/>
    <w:rsid w:val="00E12978"/>
    <w:rsid w:val="00E12A11"/>
    <w:rsid w:val="00E12B2F"/>
    <w:rsid w:val="00E12DE7"/>
    <w:rsid w:val="00E145BE"/>
    <w:rsid w:val="00E15692"/>
    <w:rsid w:val="00E164C7"/>
    <w:rsid w:val="00E1669C"/>
    <w:rsid w:val="00E20F12"/>
    <w:rsid w:val="00E226B1"/>
    <w:rsid w:val="00E22F0C"/>
    <w:rsid w:val="00E277F0"/>
    <w:rsid w:val="00E27EE9"/>
    <w:rsid w:val="00E3282C"/>
    <w:rsid w:val="00E32971"/>
    <w:rsid w:val="00E3297A"/>
    <w:rsid w:val="00E33359"/>
    <w:rsid w:val="00E33FFE"/>
    <w:rsid w:val="00E3561A"/>
    <w:rsid w:val="00E35DB3"/>
    <w:rsid w:val="00E36E84"/>
    <w:rsid w:val="00E37A29"/>
    <w:rsid w:val="00E42BAD"/>
    <w:rsid w:val="00E45038"/>
    <w:rsid w:val="00E45F20"/>
    <w:rsid w:val="00E460D4"/>
    <w:rsid w:val="00E46FB9"/>
    <w:rsid w:val="00E50F9C"/>
    <w:rsid w:val="00E530D7"/>
    <w:rsid w:val="00E53677"/>
    <w:rsid w:val="00E5473B"/>
    <w:rsid w:val="00E5504F"/>
    <w:rsid w:val="00E55D7B"/>
    <w:rsid w:val="00E5602B"/>
    <w:rsid w:val="00E5764D"/>
    <w:rsid w:val="00E57F00"/>
    <w:rsid w:val="00E63E39"/>
    <w:rsid w:val="00E64857"/>
    <w:rsid w:val="00E6523A"/>
    <w:rsid w:val="00E65B24"/>
    <w:rsid w:val="00E65C6D"/>
    <w:rsid w:val="00E67905"/>
    <w:rsid w:val="00E72E34"/>
    <w:rsid w:val="00E72EB3"/>
    <w:rsid w:val="00E74BFC"/>
    <w:rsid w:val="00E773ED"/>
    <w:rsid w:val="00E77968"/>
    <w:rsid w:val="00E815F3"/>
    <w:rsid w:val="00E81DAF"/>
    <w:rsid w:val="00E83F5D"/>
    <w:rsid w:val="00E843E8"/>
    <w:rsid w:val="00E844A9"/>
    <w:rsid w:val="00E844DF"/>
    <w:rsid w:val="00E854D0"/>
    <w:rsid w:val="00E85C18"/>
    <w:rsid w:val="00E85E2F"/>
    <w:rsid w:val="00E85FAD"/>
    <w:rsid w:val="00E86FF2"/>
    <w:rsid w:val="00E9240F"/>
    <w:rsid w:val="00E92B06"/>
    <w:rsid w:val="00E936A9"/>
    <w:rsid w:val="00E9602B"/>
    <w:rsid w:val="00E96FB3"/>
    <w:rsid w:val="00E97135"/>
    <w:rsid w:val="00EA08D4"/>
    <w:rsid w:val="00EA27D7"/>
    <w:rsid w:val="00EA2DE0"/>
    <w:rsid w:val="00EA2FBC"/>
    <w:rsid w:val="00EA588D"/>
    <w:rsid w:val="00EA5F77"/>
    <w:rsid w:val="00EA7194"/>
    <w:rsid w:val="00EB1CF2"/>
    <w:rsid w:val="00EB2B23"/>
    <w:rsid w:val="00EB4213"/>
    <w:rsid w:val="00EB4AA8"/>
    <w:rsid w:val="00EB4CAD"/>
    <w:rsid w:val="00EB53AD"/>
    <w:rsid w:val="00EB5D2F"/>
    <w:rsid w:val="00EC44A8"/>
    <w:rsid w:val="00EC5264"/>
    <w:rsid w:val="00EC604A"/>
    <w:rsid w:val="00EC6069"/>
    <w:rsid w:val="00EC725C"/>
    <w:rsid w:val="00ED0529"/>
    <w:rsid w:val="00ED3438"/>
    <w:rsid w:val="00ED581B"/>
    <w:rsid w:val="00EE05D2"/>
    <w:rsid w:val="00EE077A"/>
    <w:rsid w:val="00EE1702"/>
    <w:rsid w:val="00EE17B1"/>
    <w:rsid w:val="00EE1FEA"/>
    <w:rsid w:val="00EE2200"/>
    <w:rsid w:val="00EE220A"/>
    <w:rsid w:val="00EE4AB5"/>
    <w:rsid w:val="00EE5F78"/>
    <w:rsid w:val="00EE7B9D"/>
    <w:rsid w:val="00EF0EC8"/>
    <w:rsid w:val="00EF10EF"/>
    <w:rsid w:val="00EF4FEC"/>
    <w:rsid w:val="00EF66A9"/>
    <w:rsid w:val="00F003C2"/>
    <w:rsid w:val="00F01BFA"/>
    <w:rsid w:val="00F0275E"/>
    <w:rsid w:val="00F02E4B"/>
    <w:rsid w:val="00F030E8"/>
    <w:rsid w:val="00F06919"/>
    <w:rsid w:val="00F0691C"/>
    <w:rsid w:val="00F06F81"/>
    <w:rsid w:val="00F127F2"/>
    <w:rsid w:val="00F12A8F"/>
    <w:rsid w:val="00F14B81"/>
    <w:rsid w:val="00F14EF4"/>
    <w:rsid w:val="00F1667A"/>
    <w:rsid w:val="00F1677E"/>
    <w:rsid w:val="00F17386"/>
    <w:rsid w:val="00F17D97"/>
    <w:rsid w:val="00F20433"/>
    <w:rsid w:val="00F21940"/>
    <w:rsid w:val="00F22678"/>
    <w:rsid w:val="00F26697"/>
    <w:rsid w:val="00F26B47"/>
    <w:rsid w:val="00F2712A"/>
    <w:rsid w:val="00F27448"/>
    <w:rsid w:val="00F3041A"/>
    <w:rsid w:val="00F30C2F"/>
    <w:rsid w:val="00F3101B"/>
    <w:rsid w:val="00F31A98"/>
    <w:rsid w:val="00F32A72"/>
    <w:rsid w:val="00F32AF9"/>
    <w:rsid w:val="00F33D42"/>
    <w:rsid w:val="00F34851"/>
    <w:rsid w:val="00F34CFE"/>
    <w:rsid w:val="00F3547E"/>
    <w:rsid w:val="00F355C6"/>
    <w:rsid w:val="00F36964"/>
    <w:rsid w:val="00F36C1A"/>
    <w:rsid w:val="00F37472"/>
    <w:rsid w:val="00F376CC"/>
    <w:rsid w:val="00F37F61"/>
    <w:rsid w:val="00F42C85"/>
    <w:rsid w:val="00F43031"/>
    <w:rsid w:val="00F43260"/>
    <w:rsid w:val="00F441BA"/>
    <w:rsid w:val="00F4440A"/>
    <w:rsid w:val="00F458BB"/>
    <w:rsid w:val="00F46949"/>
    <w:rsid w:val="00F46DDE"/>
    <w:rsid w:val="00F47A08"/>
    <w:rsid w:val="00F52319"/>
    <w:rsid w:val="00F52D63"/>
    <w:rsid w:val="00F5546E"/>
    <w:rsid w:val="00F55DD6"/>
    <w:rsid w:val="00F56711"/>
    <w:rsid w:val="00F5786C"/>
    <w:rsid w:val="00F5786E"/>
    <w:rsid w:val="00F6033B"/>
    <w:rsid w:val="00F63F80"/>
    <w:rsid w:val="00F64514"/>
    <w:rsid w:val="00F66CAB"/>
    <w:rsid w:val="00F70DFC"/>
    <w:rsid w:val="00F7153D"/>
    <w:rsid w:val="00F71F9B"/>
    <w:rsid w:val="00F74918"/>
    <w:rsid w:val="00F77A40"/>
    <w:rsid w:val="00F835C8"/>
    <w:rsid w:val="00F836FF"/>
    <w:rsid w:val="00F84F45"/>
    <w:rsid w:val="00F86AE3"/>
    <w:rsid w:val="00F8743E"/>
    <w:rsid w:val="00F875CF"/>
    <w:rsid w:val="00F877C5"/>
    <w:rsid w:val="00F92F33"/>
    <w:rsid w:val="00F9334D"/>
    <w:rsid w:val="00F93ABA"/>
    <w:rsid w:val="00F97D5A"/>
    <w:rsid w:val="00FA0F6F"/>
    <w:rsid w:val="00FA141E"/>
    <w:rsid w:val="00FA1CCD"/>
    <w:rsid w:val="00FA2B6D"/>
    <w:rsid w:val="00FA312C"/>
    <w:rsid w:val="00FA50D9"/>
    <w:rsid w:val="00FA54DE"/>
    <w:rsid w:val="00FA5CDF"/>
    <w:rsid w:val="00FA6CAB"/>
    <w:rsid w:val="00FA7368"/>
    <w:rsid w:val="00FA7A5F"/>
    <w:rsid w:val="00FB25DA"/>
    <w:rsid w:val="00FB356B"/>
    <w:rsid w:val="00FB36FA"/>
    <w:rsid w:val="00FB41D4"/>
    <w:rsid w:val="00FB46B7"/>
    <w:rsid w:val="00FB4DD4"/>
    <w:rsid w:val="00FB575D"/>
    <w:rsid w:val="00FB5C84"/>
    <w:rsid w:val="00FB6EEF"/>
    <w:rsid w:val="00FB7808"/>
    <w:rsid w:val="00FC0E47"/>
    <w:rsid w:val="00FC2710"/>
    <w:rsid w:val="00FC2766"/>
    <w:rsid w:val="00FC2924"/>
    <w:rsid w:val="00FC33B1"/>
    <w:rsid w:val="00FC4875"/>
    <w:rsid w:val="00FC4A96"/>
    <w:rsid w:val="00FC5E7F"/>
    <w:rsid w:val="00FC6940"/>
    <w:rsid w:val="00FC708B"/>
    <w:rsid w:val="00FC71A7"/>
    <w:rsid w:val="00FD0B1C"/>
    <w:rsid w:val="00FD1CEE"/>
    <w:rsid w:val="00FD2106"/>
    <w:rsid w:val="00FD29B7"/>
    <w:rsid w:val="00FD381D"/>
    <w:rsid w:val="00FD3A56"/>
    <w:rsid w:val="00FD5A14"/>
    <w:rsid w:val="00FD74F1"/>
    <w:rsid w:val="00FE05AD"/>
    <w:rsid w:val="00FE1056"/>
    <w:rsid w:val="00FE2DE9"/>
    <w:rsid w:val="00FE3613"/>
    <w:rsid w:val="00FE7797"/>
    <w:rsid w:val="00FE77A5"/>
    <w:rsid w:val="00FF0636"/>
    <w:rsid w:val="00FF20FA"/>
    <w:rsid w:val="00FF2BB6"/>
    <w:rsid w:val="00FF4D09"/>
    <w:rsid w:val="00FF535C"/>
    <w:rsid w:val="00FF594C"/>
    <w:rsid w:val="00FF61DF"/>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19BD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E0A26"/>
    <w:rPr>
      <w:rFonts w:ascii="Times New Roman" w:hAnsi="Times New Roman"/>
      <w:lang w:bidi="th-TH"/>
    </w:rPr>
  </w:style>
  <w:style w:type="paragraph" w:styleId="Heading1">
    <w:name w:val="heading 1"/>
    <w:basedOn w:val="Normal"/>
    <w:next w:val="Normal"/>
    <w:link w:val="Heading1Char"/>
    <w:uiPriority w:val="9"/>
    <w:qFormat/>
    <w:rsid w:val="003F35B6"/>
    <w:pPr>
      <w:keepNext/>
      <w:keepLines/>
      <w:spacing w:before="240"/>
      <w:outlineLvl w:val="0"/>
    </w:pPr>
    <w:rPr>
      <w:rFonts w:asciiTheme="majorHAnsi" w:eastAsiaTheme="majorEastAsia" w:hAnsiTheme="majorHAnsi" w:cstheme="majorBidi"/>
      <w:color w:val="2F5496" w:themeColor="accent1" w:themeShade="BF"/>
      <w:sz w:val="32"/>
      <w:szCs w:val="32"/>
      <w:lang w:bidi="ar-SA"/>
    </w:rPr>
  </w:style>
  <w:style w:type="paragraph" w:styleId="Heading2">
    <w:name w:val="heading 2"/>
    <w:basedOn w:val="Normal"/>
    <w:next w:val="Normal"/>
    <w:link w:val="Heading2Char"/>
    <w:uiPriority w:val="9"/>
    <w:unhideWhenUsed/>
    <w:qFormat/>
    <w:rsid w:val="00234DD5"/>
    <w:pPr>
      <w:keepNext/>
      <w:keepLines/>
      <w:spacing w:before="40"/>
      <w:outlineLvl w:val="1"/>
    </w:pPr>
    <w:rPr>
      <w:rFonts w:asciiTheme="majorHAnsi" w:eastAsiaTheme="majorEastAsia" w:hAnsiTheme="majorHAnsi" w:cstheme="majorBidi"/>
      <w:color w:val="2F5496" w:themeColor="accent1" w:themeShade="BF"/>
      <w:sz w:val="26"/>
      <w:szCs w:val="2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5B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B6DBF"/>
    <w:pPr>
      <w:tabs>
        <w:tab w:val="center" w:pos="4680"/>
        <w:tab w:val="right" w:pos="9360"/>
      </w:tabs>
    </w:pPr>
    <w:rPr>
      <w:rFonts w:asciiTheme="minorHAnsi" w:hAnsiTheme="minorHAnsi"/>
      <w:lang w:bidi="ar-SA"/>
    </w:rPr>
  </w:style>
  <w:style w:type="character" w:customStyle="1" w:styleId="HeaderChar">
    <w:name w:val="Header Char"/>
    <w:basedOn w:val="DefaultParagraphFont"/>
    <w:link w:val="Header"/>
    <w:uiPriority w:val="99"/>
    <w:rsid w:val="00CB6DBF"/>
  </w:style>
  <w:style w:type="paragraph" w:styleId="Footer">
    <w:name w:val="footer"/>
    <w:basedOn w:val="Normal"/>
    <w:link w:val="FooterChar"/>
    <w:uiPriority w:val="99"/>
    <w:unhideWhenUsed/>
    <w:rsid w:val="00CB6DBF"/>
    <w:pPr>
      <w:tabs>
        <w:tab w:val="center" w:pos="4680"/>
        <w:tab w:val="right" w:pos="9360"/>
      </w:tabs>
    </w:pPr>
    <w:rPr>
      <w:rFonts w:asciiTheme="minorHAnsi" w:hAnsiTheme="minorHAnsi"/>
      <w:lang w:bidi="ar-SA"/>
    </w:rPr>
  </w:style>
  <w:style w:type="character" w:customStyle="1" w:styleId="FooterChar">
    <w:name w:val="Footer Char"/>
    <w:basedOn w:val="DefaultParagraphFont"/>
    <w:link w:val="Footer"/>
    <w:uiPriority w:val="99"/>
    <w:rsid w:val="00CB6DBF"/>
  </w:style>
  <w:style w:type="character" w:styleId="PageNumber">
    <w:name w:val="page number"/>
    <w:basedOn w:val="DefaultParagraphFont"/>
    <w:uiPriority w:val="99"/>
    <w:semiHidden/>
    <w:unhideWhenUsed/>
    <w:rsid w:val="00CB6DBF"/>
  </w:style>
  <w:style w:type="paragraph" w:styleId="Title">
    <w:name w:val="Title"/>
    <w:basedOn w:val="Normal"/>
    <w:next w:val="Normal"/>
    <w:link w:val="TitleChar"/>
    <w:uiPriority w:val="10"/>
    <w:qFormat/>
    <w:rsid w:val="00CB6DBF"/>
    <w:pPr>
      <w:contextualSpacing/>
    </w:pPr>
    <w:rPr>
      <w:rFonts w:asciiTheme="majorHAnsi" w:eastAsiaTheme="majorEastAsia" w:hAnsiTheme="majorHAnsi" w:cstheme="majorBidi"/>
      <w:spacing w:val="-10"/>
      <w:kern w:val="28"/>
      <w:sz w:val="56"/>
      <w:szCs w:val="56"/>
      <w:lang w:bidi="ar-SA"/>
    </w:rPr>
  </w:style>
  <w:style w:type="character" w:customStyle="1" w:styleId="TitleChar">
    <w:name w:val="Title Char"/>
    <w:basedOn w:val="DefaultParagraphFont"/>
    <w:link w:val="Title"/>
    <w:uiPriority w:val="10"/>
    <w:rsid w:val="00CB6DBF"/>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unhideWhenUsed/>
    <w:rsid w:val="00965E49"/>
    <w:rPr>
      <w:rFonts w:asciiTheme="minorHAnsi" w:hAnsiTheme="minorHAnsi"/>
      <w:lang w:bidi="ar-SA"/>
    </w:rPr>
  </w:style>
  <w:style w:type="character" w:customStyle="1" w:styleId="FootnoteTextChar">
    <w:name w:val="Footnote Text Char"/>
    <w:basedOn w:val="DefaultParagraphFont"/>
    <w:link w:val="FootnoteText"/>
    <w:uiPriority w:val="99"/>
    <w:rsid w:val="00965E49"/>
  </w:style>
  <w:style w:type="character" w:styleId="FootnoteReference">
    <w:name w:val="footnote reference"/>
    <w:basedOn w:val="DefaultParagraphFont"/>
    <w:uiPriority w:val="99"/>
    <w:unhideWhenUsed/>
    <w:rsid w:val="00965E49"/>
    <w:rPr>
      <w:vertAlign w:val="superscript"/>
    </w:rPr>
  </w:style>
  <w:style w:type="character" w:styleId="Hyperlink">
    <w:name w:val="Hyperlink"/>
    <w:basedOn w:val="DefaultParagraphFont"/>
    <w:uiPriority w:val="99"/>
    <w:unhideWhenUsed/>
    <w:rsid w:val="0019086D"/>
    <w:rPr>
      <w:color w:val="0563C1" w:themeColor="hyperlink"/>
      <w:u w:val="single"/>
    </w:rPr>
  </w:style>
  <w:style w:type="table" w:styleId="TableGrid">
    <w:name w:val="Table Grid"/>
    <w:basedOn w:val="TableNormal"/>
    <w:uiPriority w:val="39"/>
    <w:rsid w:val="00791B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ace">
    <w:name w:val="place"/>
    <w:basedOn w:val="DefaultParagraphFont"/>
    <w:rsid w:val="000B3EE4"/>
  </w:style>
  <w:style w:type="character" w:customStyle="1" w:styleId="english">
    <w:name w:val="english"/>
    <w:basedOn w:val="DefaultParagraphFont"/>
    <w:rsid w:val="000B3EE4"/>
  </w:style>
  <w:style w:type="paragraph" w:styleId="ListParagraph">
    <w:name w:val="List Paragraph"/>
    <w:basedOn w:val="Normal"/>
    <w:uiPriority w:val="34"/>
    <w:qFormat/>
    <w:rsid w:val="00472F30"/>
    <w:pPr>
      <w:ind w:left="720"/>
      <w:contextualSpacing/>
    </w:pPr>
    <w:rPr>
      <w:rFonts w:asciiTheme="minorHAnsi" w:hAnsiTheme="minorHAnsi"/>
      <w:lang w:bidi="ar-SA"/>
    </w:rPr>
  </w:style>
  <w:style w:type="character" w:customStyle="1" w:styleId="Heading2Char">
    <w:name w:val="Heading 2 Char"/>
    <w:basedOn w:val="DefaultParagraphFont"/>
    <w:link w:val="Heading2"/>
    <w:uiPriority w:val="9"/>
    <w:rsid w:val="00234DD5"/>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1B4C9C"/>
    <w:rPr>
      <w:color w:val="954F72" w:themeColor="followedHyperlink"/>
      <w:u w:val="single"/>
    </w:rPr>
  </w:style>
  <w:style w:type="paragraph" w:styleId="NoSpacing">
    <w:name w:val="No Spacing"/>
    <w:uiPriority w:val="1"/>
    <w:qFormat/>
    <w:rsid w:val="001D6C31"/>
    <w:rPr>
      <w:rFonts w:ascii="Times New Roman" w:hAnsi="Times New Roman"/>
      <w:szCs w:val="30"/>
      <w:lang w:bidi="th-TH"/>
    </w:rPr>
  </w:style>
  <w:style w:type="character" w:customStyle="1" w:styleId="css-901oao">
    <w:name w:val="css-901oao"/>
    <w:basedOn w:val="DefaultParagraphFont"/>
    <w:rsid w:val="00B2673F"/>
  </w:style>
  <w:style w:type="paragraph" w:styleId="NormalWeb">
    <w:name w:val="Normal (Web)"/>
    <w:basedOn w:val="Normal"/>
    <w:uiPriority w:val="99"/>
    <w:semiHidden/>
    <w:unhideWhenUsed/>
    <w:rsid w:val="005D2435"/>
    <w:rPr>
      <w:szCs w:val="30"/>
    </w:rPr>
  </w:style>
  <w:style w:type="paragraph" w:styleId="HTMLPreformatted">
    <w:name w:val="HTML Preformatted"/>
    <w:basedOn w:val="Normal"/>
    <w:link w:val="HTMLPreformattedChar"/>
    <w:uiPriority w:val="99"/>
    <w:semiHidden/>
    <w:unhideWhenUsed/>
    <w:rsid w:val="00300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w:sz w:val="20"/>
      <w:szCs w:val="20"/>
    </w:rPr>
  </w:style>
  <w:style w:type="character" w:customStyle="1" w:styleId="HTMLPreformattedChar">
    <w:name w:val="HTML Preformatted Char"/>
    <w:basedOn w:val="DefaultParagraphFont"/>
    <w:link w:val="HTMLPreformatted"/>
    <w:uiPriority w:val="99"/>
    <w:semiHidden/>
    <w:rsid w:val="00300528"/>
    <w:rPr>
      <w:rFonts w:ascii="Courier New" w:hAnsi="Courier New" w:cs="Courier"/>
      <w:sz w:val="20"/>
      <w:szCs w:val="20"/>
      <w:lang w:bidi="th-TH"/>
    </w:rPr>
  </w:style>
  <w:style w:type="character" w:customStyle="1" w:styleId="kn">
    <w:name w:val="kn"/>
    <w:basedOn w:val="DefaultParagraphFont"/>
    <w:rsid w:val="00300528"/>
  </w:style>
  <w:style w:type="character" w:customStyle="1" w:styleId="nn">
    <w:name w:val="nn"/>
    <w:basedOn w:val="DefaultParagraphFont"/>
    <w:rsid w:val="00300528"/>
  </w:style>
  <w:style w:type="character" w:customStyle="1" w:styleId="k">
    <w:name w:val="k"/>
    <w:basedOn w:val="DefaultParagraphFont"/>
    <w:rsid w:val="00300528"/>
  </w:style>
  <w:style w:type="character" w:customStyle="1" w:styleId="c1">
    <w:name w:val="c1"/>
    <w:basedOn w:val="DefaultParagraphFont"/>
    <w:rsid w:val="00300528"/>
  </w:style>
  <w:style w:type="character" w:customStyle="1" w:styleId="n">
    <w:name w:val="n"/>
    <w:basedOn w:val="DefaultParagraphFont"/>
    <w:rsid w:val="00300528"/>
  </w:style>
  <w:style w:type="character" w:customStyle="1" w:styleId="o">
    <w:name w:val="o"/>
    <w:basedOn w:val="DefaultParagraphFont"/>
    <w:rsid w:val="00300528"/>
  </w:style>
  <w:style w:type="character" w:customStyle="1" w:styleId="s2">
    <w:name w:val="s2"/>
    <w:basedOn w:val="DefaultParagraphFont"/>
    <w:rsid w:val="00300528"/>
  </w:style>
  <w:style w:type="character" w:customStyle="1" w:styleId="p">
    <w:name w:val="p"/>
    <w:basedOn w:val="DefaultParagraphFont"/>
    <w:rsid w:val="00300528"/>
  </w:style>
  <w:style w:type="character" w:customStyle="1" w:styleId="s1">
    <w:name w:val="s1"/>
    <w:basedOn w:val="DefaultParagraphFont"/>
    <w:rsid w:val="00300528"/>
  </w:style>
  <w:style w:type="character" w:customStyle="1" w:styleId="nb">
    <w:name w:val="nb"/>
    <w:basedOn w:val="DefaultParagraphFont"/>
    <w:rsid w:val="00300528"/>
  </w:style>
  <w:style w:type="character" w:customStyle="1" w:styleId="mi">
    <w:name w:val="mi"/>
    <w:basedOn w:val="DefaultParagraphFont"/>
    <w:rsid w:val="00300528"/>
  </w:style>
  <w:style w:type="character" w:customStyle="1" w:styleId="ow">
    <w:name w:val="ow"/>
    <w:basedOn w:val="DefaultParagraphFont"/>
    <w:rsid w:val="00300528"/>
  </w:style>
  <w:style w:type="character" w:customStyle="1" w:styleId="acopre">
    <w:name w:val="acopre"/>
    <w:basedOn w:val="DefaultParagraphFont"/>
    <w:rsid w:val="009858A1"/>
  </w:style>
  <w:style w:type="paragraph" w:customStyle="1" w:styleId="p1">
    <w:name w:val="p1"/>
    <w:basedOn w:val="Normal"/>
    <w:rsid w:val="00156CB5"/>
    <w:rPr>
      <w:rFonts w:ascii="Helvetica Neue" w:hAnsi="Helvetica Neue"/>
      <w:sz w:val="18"/>
      <w:szCs w:val="18"/>
    </w:rPr>
  </w:style>
  <w:style w:type="character" w:customStyle="1" w:styleId="hgkelc">
    <w:name w:val="hgkelc"/>
    <w:basedOn w:val="DefaultParagraphFont"/>
    <w:rsid w:val="00FF535C"/>
  </w:style>
  <w:style w:type="character" w:styleId="PlaceholderText">
    <w:name w:val="Placeholder Text"/>
    <w:basedOn w:val="DefaultParagraphFont"/>
    <w:uiPriority w:val="99"/>
    <w:semiHidden/>
    <w:rsid w:val="00C170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041317">
      <w:bodyDiv w:val="1"/>
      <w:marLeft w:val="0"/>
      <w:marRight w:val="0"/>
      <w:marTop w:val="0"/>
      <w:marBottom w:val="0"/>
      <w:divBdr>
        <w:top w:val="none" w:sz="0" w:space="0" w:color="auto"/>
        <w:left w:val="none" w:sz="0" w:space="0" w:color="auto"/>
        <w:bottom w:val="none" w:sz="0" w:space="0" w:color="auto"/>
        <w:right w:val="none" w:sz="0" w:space="0" w:color="auto"/>
      </w:divBdr>
    </w:div>
    <w:div w:id="111486963">
      <w:bodyDiv w:val="1"/>
      <w:marLeft w:val="0"/>
      <w:marRight w:val="0"/>
      <w:marTop w:val="0"/>
      <w:marBottom w:val="0"/>
      <w:divBdr>
        <w:top w:val="none" w:sz="0" w:space="0" w:color="auto"/>
        <w:left w:val="none" w:sz="0" w:space="0" w:color="auto"/>
        <w:bottom w:val="none" w:sz="0" w:space="0" w:color="auto"/>
        <w:right w:val="none" w:sz="0" w:space="0" w:color="auto"/>
      </w:divBdr>
    </w:div>
    <w:div w:id="124128018">
      <w:bodyDiv w:val="1"/>
      <w:marLeft w:val="0"/>
      <w:marRight w:val="0"/>
      <w:marTop w:val="0"/>
      <w:marBottom w:val="0"/>
      <w:divBdr>
        <w:top w:val="none" w:sz="0" w:space="0" w:color="auto"/>
        <w:left w:val="none" w:sz="0" w:space="0" w:color="auto"/>
        <w:bottom w:val="none" w:sz="0" w:space="0" w:color="auto"/>
        <w:right w:val="none" w:sz="0" w:space="0" w:color="auto"/>
      </w:divBdr>
    </w:div>
    <w:div w:id="133452951">
      <w:bodyDiv w:val="1"/>
      <w:marLeft w:val="0"/>
      <w:marRight w:val="0"/>
      <w:marTop w:val="0"/>
      <w:marBottom w:val="0"/>
      <w:divBdr>
        <w:top w:val="none" w:sz="0" w:space="0" w:color="auto"/>
        <w:left w:val="none" w:sz="0" w:space="0" w:color="auto"/>
        <w:bottom w:val="none" w:sz="0" w:space="0" w:color="auto"/>
        <w:right w:val="none" w:sz="0" w:space="0" w:color="auto"/>
      </w:divBdr>
      <w:divsChild>
        <w:div w:id="160321328">
          <w:marLeft w:val="0"/>
          <w:marRight w:val="0"/>
          <w:marTop w:val="0"/>
          <w:marBottom w:val="0"/>
          <w:divBdr>
            <w:top w:val="none" w:sz="0" w:space="0" w:color="auto"/>
            <w:left w:val="none" w:sz="0" w:space="0" w:color="auto"/>
            <w:bottom w:val="none" w:sz="0" w:space="0" w:color="auto"/>
            <w:right w:val="none" w:sz="0" w:space="0" w:color="auto"/>
          </w:divBdr>
        </w:div>
      </w:divsChild>
    </w:div>
    <w:div w:id="156310768">
      <w:bodyDiv w:val="1"/>
      <w:marLeft w:val="0"/>
      <w:marRight w:val="0"/>
      <w:marTop w:val="0"/>
      <w:marBottom w:val="0"/>
      <w:divBdr>
        <w:top w:val="none" w:sz="0" w:space="0" w:color="auto"/>
        <w:left w:val="none" w:sz="0" w:space="0" w:color="auto"/>
        <w:bottom w:val="none" w:sz="0" w:space="0" w:color="auto"/>
        <w:right w:val="none" w:sz="0" w:space="0" w:color="auto"/>
      </w:divBdr>
    </w:div>
    <w:div w:id="157767416">
      <w:bodyDiv w:val="1"/>
      <w:marLeft w:val="0"/>
      <w:marRight w:val="0"/>
      <w:marTop w:val="0"/>
      <w:marBottom w:val="0"/>
      <w:divBdr>
        <w:top w:val="none" w:sz="0" w:space="0" w:color="auto"/>
        <w:left w:val="none" w:sz="0" w:space="0" w:color="auto"/>
        <w:bottom w:val="none" w:sz="0" w:space="0" w:color="auto"/>
        <w:right w:val="none" w:sz="0" w:space="0" w:color="auto"/>
      </w:divBdr>
    </w:div>
    <w:div w:id="169562069">
      <w:bodyDiv w:val="1"/>
      <w:marLeft w:val="0"/>
      <w:marRight w:val="0"/>
      <w:marTop w:val="0"/>
      <w:marBottom w:val="0"/>
      <w:divBdr>
        <w:top w:val="none" w:sz="0" w:space="0" w:color="auto"/>
        <w:left w:val="none" w:sz="0" w:space="0" w:color="auto"/>
        <w:bottom w:val="none" w:sz="0" w:space="0" w:color="auto"/>
        <w:right w:val="none" w:sz="0" w:space="0" w:color="auto"/>
      </w:divBdr>
    </w:div>
    <w:div w:id="169683281">
      <w:bodyDiv w:val="1"/>
      <w:marLeft w:val="0"/>
      <w:marRight w:val="0"/>
      <w:marTop w:val="0"/>
      <w:marBottom w:val="0"/>
      <w:divBdr>
        <w:top w:val="none" w:sz="0" w:space="0" w:color="auto"/>
        <w:left w:val="none" w:sz="0" w:space="0" w:color="auto"/>
        <w:bottom w:val="none" w:sz="0" w:space="0" w:color="auto"/>
        <w:right w:val="none" w:sz="0" w:space="0" w:color="auto"/>
      </w:divBdr>
    </w:div>
    <w:div w:id="175921383">
      <w:bodyDiv w:val="1"/>
      <w:marLeft w:val="0"/>
      <w:marRight w:val="0"/>
      <w:marTop w:val="0"/>
      <w:marBottom w:val="0"/>
      <w:divBdr>
        <w:top w:val="none" w:sz="0" w:space="0" w:color="auto"/>
        <w:left w:val="none" w:sz="0" w:space="0" w:color="auto"/>
        <w:bottom w:val="none" w:sz="0" w:space="0" w:color="auto"/>
        <w:right w:val="none" w:sz="0" w:space="0" w:color="auto"/>
      </w:divBdr>
    </w:div>
    <w:div w:id="179121855">
      <w:bodyDiv w:val="1"/>
      <w:marLeft w:val="0"/>
      <w:marRight w:val="0"/>
      <w:marTop w:val="0"/>
      <w:marBottom w:val="0"/>
      <w:divBdr>
        <w:top w:val="none" w:sz="0" w:space="0" w:color="auto"/>
        <w:left w:val="none" w:sz="0" w:space="0" w:color="auto"/>
        <w:bottom w:val="none" w:sz="0" w:space="0" w:color="auto"/>
        <w:right w:val="none" w:sz="0" w:space="0" w:color="auto"/>
      </w:divBdr>
    </w:div>
    <w:div w:id="183907794">
      <w:bodyDiv w:val="1"/>
      <w:marLeft w:val="0"/>
      <w:marRight w:val="0"/>
      <w:marTop w:val="0"/>
      <w:marBottom w:val="0"/>
      <w:divBdr>
        <w:top w:val="none" w:sz="0" w:space="0" w:color="auto"/>
        <w:left w:val="none" w:sz="0" w:space="0" w:color="auto"/>
        <w:bottom w:val="none" w:sz="0" w:space="0" w:color="auto"/>
        <w:right w:val="none" w:sz="0" w:space="0" w:color="auto"/>
      </w:divBdr>
      <w:divsChild>
        <w:div w:id="382366301">
          <w:marLeft w:val="0"/>
          <w:marRight w:val="0"/>
          <w:marTop w:val="0"/>
          <w:marBottom w:val="0"/>
          <w:divBdr>
            <w:top w:val="none" w:sz="0" w:space="0" w:color="auto"/>
            <w:left w:val="none" w:sz="0" w:space="0" w:color="auto"/>
            <w:bottom w:val="none" w:sz="0" w:space="0" w:color="auto"/>
            <w:right w:val="none" w:sz="0" w:space="0" w:color="auto"/>
          </w:divBdr>
          <w:divsChild>
            <w:div w:id="344983136">
              <w:marLeft w:val="0"/>
              <w:marRight w:val="0"/>
              <w:marTop w:val="0"/>
              <w:marBottom w:val="0"/>
              <w:divBdr>
                <w:top w:val="none" w:sz="0" w:space="0" w:color="auto"/>
                <w:left w:val="none" w:sz="0" w:space="0" w:color="auto"/>
                <w:bottom w:val="none" w:sz="0" w:space="0" w:color="auto"/>
                <w:right w:val="none" w:sz="0" w:space="0" w:color="auto"/>
              </w:divBdr>
            </w:div>
          </w:divsChild>
        </w:div>
        <w:div w:id="1591156802">
          <w:marLeft w:val="0"/>
          <w:marRight w:val="0"/>
          <w:marTop w:val="0"/>
          <w:marBottom w:val="0"/>
          <w:divBdr>
            <w:top w:val="none" w:sz="0" w:space="0" w:color="auto"/>
            <w:left w:val="none" w:sz="0" w:space="0" w:color="auto"/>
            <w:bottom w:val="none" w:sz="0" w:space="0" w:color="auto"/>
            <w:right w:val="none" w:sz="0" w:space="0" w:color="auto"/>
          </w:divBdr>
        </w:div>
      </w:divsChild>
    </w:div>
    <w:div w:id="184711776">
      <w:bodyDiv w:val="1"/>
      <w:marLeft w:val="0"/>
      <w:marRight w:val="0"/>
      <w:marTop w:val="0"/>
      <w:marBottom w:val="0"/>
      <w:divBdr>
        <w:top w:val="none" w:sz="0" w:space="0" w:color="auto"/>
        <w:left w:val="none" w:sz="0" w:space="0" w:color="auto"/>
        <w:bottom w:val="none" w:sz="0" w:space="0" w:color="auto"/>
        <w:right w:val="none" w:sz="0" w:space="0" w:color="auto"/>
      </w:divBdr>
    </w:div>
    <w:div w:id="192118641">
      <w:bodyDiv w:val="1"/>
      <w:marLeft w:val="0"/>
      <w:marRight w:val="0"/>
      <w:marTop w:val="0"/>
      <w:marBottom w:val="0"/>
      <w:divBdr>
        <w:top w:val="none" w:sz="0" w:space="0" w:color="auto"/>
        <w:left w:val="none" w:sz="0" w:space="0" w:color="auto"/>
        <w:bottom w:val="none" w:sz="0" w:space="0" w:color="auto"/>
        <w:right w:val="none" w:sz="0" w:space="0" w:color="auto"/>
      </w:divBdr>
    </w:div>
    <w:div w:id="209152530">
      <w:bodyDiv w:val="1"/>
      <w:marLeft w:val="0"/>
      <w:marRight w:val="0"/>
      <w:marTop w:val="0"/>
      <w:marBottom w:val="0"/>
      <w:divBdr>
        <w:top w:val="none" w:sz="0" w:space="0" w:color="auto"/>
        <w:left w:val="none" w:sz="0" w:space="0" w:color="auto"/>
        <w:bottom w:val="none" w:sz="0" w:space="0" w:color="auto"/>
        <w:right w:val="none" w:sz="0" w:space="0" w:color="auto"/>
      </w:divBdr>
    </w:div>
    <w:div w:id="210849965">
      <w:bodyDiv w:val="1"/>
      <w:marLeft w:val="0"/>
      <w:marRight w:val="0"/>
      <w:marTop w:val="0"/>
      <w:marBottom w:val="0"/>
      <w:divBdr>
        <w:top w:val="none" w:sz="0" w:space="0" w:color="auto"/>
        <w:left w:val="none" w:sz="0" w:space="0" w:color="auto"/>
        <w:bottom w:val="none" w:sz="0" w:space="0" w:color="auto"/>
        <w:right w:val="none" w:sz="0" w:space="0" w:color="auto"/>
      </w:divBdr>
    </w:div>
    <w:div w:id="213782164">
      <w:bodyDiv w:val="1"/>
      <w:marLeft w:val="0"/>
      <w:marRight w:val="0"/>
      <w:marTop w:val="0"/>
      <w:marBottom w:val="0"/>
      <w:divBdr>
        <w:top w:val="none" w:sz="0" w:space="0" w:color="auto"/>
        <w:left w:val="none" w:sz="0" w:space="0" w:color="auto"/>
        <w:bottom w:val="none" w:sz="0" w:space="0" w:color="auto"/>
        <w:right w:val="none" w:sz="0" w:space="0" w:color="auto"/>
      </w:divBdr>
    </w:div>
    <w:div w:id="222103141">
      <w:bodyDiv w:val="1"/>
      <w:marLeft w:val="0"/>
      <w:marRight w:val="0"/>
      <w:marTop w:val="0"/>
      <w:marBottom w:val="0"/>
      <w:divBdr>
        <w:top w:val="none" w:sz="0" w:space="0" w:color="auto"/>
        <w:left w:val="none" w:sz="0" w:space="0" w:color="auto"/>
        <w:bottom w:val="none" w:sz="0" w:space="0" w:color="auto"/>
        <w:right w:val="none" w:sz="0" w:space="0" w:color="auto"/>
      </w:divBdr>
    </w:div>
    <w:div w:id="223609136">
      <w:bodyDiv w:val="1"/>
      <w:marLeft w:val="0"/>
      <w:marRight w:val="0"/>
      <w:marTop w:val="0"/>
      <w:marBottom w:val="0"/>
      <w:divBdr>
        <w:top w:val="none" w:sz="0" w:space="0" w:color="auto"/>
        <w:left w:val="none" w:sz="0" w:space="0" w:color="auto"/>
        <w:bottom w:val="none" w:sz="0" w:space="0" w:color="auto"/>
        <w:right w:val="none" w:sz="0" w:space="0" w:color="auto"/>
      </w:divBdr>
    </w:div>
    <w:div w:id="243223537">
      <w:bodyDiv w:val="1"/>
      <w:marLeft w:val="0"/>
      <w:marRight w:val="0"/>
      <w:marTop w:val="0"/>
      <w:marBottom w:val="0"/>
      <w:divBdr>
        <w:top w:val="none" w:sz="0" w:space="0" w:color="auto"/>
        <w:left w:val="none" w:sz="0" w:space="0" w:color="auto"/>
        <w:bottom w:val="none" w:sz="0" w:space="0" w:color="auto"/>
        <w:right w:val="none" w:sz="0" w:space="0" w:color="auto"/>
      </w:divBdr>
    </w:div>
    <w:div w:id="262693950">
      <w:bodyDiv w:val="1"/>
      <w:marLeft w:val="0"/>
      <w:marRight w:val="0"/>
      <w:marTop w:val="0"/>
      <w:marBottom w:val="0"/>
      <w:divBdr>
        <w:top w:val="none" w:sz="0" w:space="0" w:color="auto"/>
        <w:left w:val="none" w:sz="0" w:space="0" w:color="auto"/>
        <w:bottom w:val="none" w:sz="0" w:space="0" w:color="auto"/>
        <w:right w:val="none" w:sz="0" w:space="0" w:color="auto"/>
      </w:divBdr>
    </w:div>
    <w:div w:id="274138044">
      <w:bodyDiv w:val="1"/>
      <w:marLeft w:val="0"/>
      <w:marRight w:val="0"/>
      <w:marTop w:val="0"/>
      <w:marBottom w:val="0"/>
      <w:divBdr>
        <w:top w:val="none" w:sz="0" w:space="0" w:color="auto"/>
        <w:left w:val="none" w:sz="0" w:space="0" w:color="auto"/>
        <w:bottom w:val="none" w:sz="0" w:space="0" w:color="auto"/>
        <w:right w:val="none" w:sz="0" w:space="0" w:color="auto"/>
      </w:divBdr>
    </w:div>
    <w:div w:id="276840738">
      <w:bodyDiv w:val="1"/>
      <w:marLeft w:val="0"/>
      <w:marRight w:val="0"/>
      <w:marTop w:val="0"/>
      <w:marBottom w:val="0"/>
      <w:divBdr>
        <w:top w:val="none" w:sz="0" w:space="0" w:color="auto"/>
        <w:left w:val="none" w:sz="0" w:space="0" w:color="auto"/>
        <w:bottom w:val="none" w:sz="0" w:space="0" w:color="auto"/>
        <w:right w:val="none" w:sz="0" w:space="0" w:color="auto"/>
      </w:divBdr>
    </w:div>
    <w:div w:id="277179815">
      <w:bodyDiv w:val="1"/>
      <w:marLeft w:val="0"/>
      <w:marRight w:val="0"/>
      <w:marTop w:val="0"/>
      <w:marBottom w:val="0"/>
      <w:divBdr>
        <w:top w:val="none" w:sz="0" w:space="0" w:color="auto"/>
        <w:left w:val="none" w:sz="0" w:space="0" w:color="auto"/>
        <w:bottom w:val="none" w:sz="0" w:space="0" w:color="auto"/>
        <w:right w:val="none" w:sz="0" w:space="0" w:color="auto"/>
      </w:divBdr>
    </w:div>
    <w:div w:id="277878825">
      <w:bodyDiv w:val="1"/>
      <w:marLeft w:val="0"/>
      <w:marRight w:val="0"/>
      <w:marTop w:val="0"/>
      <w:marBottom w:val="0"/>
      <w:divBdr>
        <w:top w:val="none" w:sz="0" w:space="0" w:color="auto"/>
        <w:left w:val="none" w:sz="0" w:space="0" w:color="auto"/>
        <w:bottom w:val="none" w:sz="0" w:space="0" w:color="auto"/>
        <w:right w:val="none" w:sz="0" w:space="0" w:color="auto"/>
      </w:divBdr>
    </w:div>
    <w:div w:id="312561147">
      <w:bodyDiv w:val="1"/>
      <w:marLeft w:val="0"/>
      <w:marRight w:val="0"/>
      <w:marTop w:val="0"/>
      <w:marBottom w:val="0"/>
      <w:divBdr>
        <w:top w:val="none" w:sz="0" w:space="0" w:color="auto"/>
        <w:left w:val="none" w:sz="0" w:space="0" w:color="auto"/>
        <w:bottom w:val="none" w:sz="0" w:space="0" w:color="auto"/>
        <w:right w:val="none" w:sz="0" w:space="0" w:color="auto"/>
      </w:divBdr>
    </w:div>
    <w:div w:id="352342156">
      <w:bodyDiv w:val="1"/>
      <w:marLeft w:val="0"/>
      <w:marRight w:val="0"/>
      <w:marTop w:val="0"/>
      <w:marBottom w:val="0"/>
      <w:divBdr>
        <w:top w:val="none" w:sz="0" w:space="0" w:color="auto"/>
        <w:left w:val="none" w:sz="0" w:space="0" w:color="auto"/>
        <w:bottom w:val="none" w:sz="0" w:space="0" w:color="auto"/>
        <w:right w:val="none" w:sz="0" w:space="0" w:color="auto"/>
      </w:divBdr>
    </w:div>
    <w:div w:id="358161650">
      <w:bodyDiv w:val="1"/>
      <w:marLeft w:val="0"/>
      <w:marRight w:val="0"/>
      <w:marTop w:val="0"/>
      <w:marBottom w:val="0"/>
      <w:divBdr>
        <w:top w:val="none" w:sz="0" w:space="0" w:color="auto"/>
        <w:left w:val="none" w:sz="0" w:space="0" w:color="auto"/>
        <w:bottom w:val="none" w:sz="0" w:space="0" w:color="auto"/>
        <w:right w:val="none" w:sz="0" w:space="0" w:color="auto"/>
      </w:divBdr>
    </w:div>
    <w:div w:id="365256651">
      <w:bodyDiv w:val="1"/>
      <w:marLeft w:val="0"/>
      <w:marRight w:val="0"/>
      <w:marTop w:val="0"/>
      <w:marBottom w:val="0"/>
      <w:divBdr>
        <w:top w:val="none" w:sz="0" w:space="0" w:color="auto"/>
        <w:left w:val="none" w:sz="0" w:space="0" w:color="auto"/>
        <w:bottom w:val="none" w:sz="0" w:space="0" w:color="auto"/>
        <w:right w:val="none" w:sz="0" w:space="0" w:color="auto"/>
      </w:divBdr>
    </w:div>
    <w:div w:id="395589875">
      <w:bodyDiv w:val="1"/>
      <w:marLeft w:val="0"/>
      <w:marRight w:val="0"/>
      <w:marTop w:val="0"/>
      <w:marBottom w:val="0"/>
      <w:divBdr>
        <w:top w:val="none" w:sz="0" w:space="0" w:color="auto"/>
        <w:left w:val="none" w:sz="0" w:space="0" w:color="auto"/>
        <w:bottom w:val="none" w:sz="0" w:space="0" w:color="auto"/>
        <w:right w:val="none" w:sz="0" w:space="0" w:color="auto"/>
      </w:divBdr>
    </w:div>
    <w:div w:id="399062991">
      <w:bodyDiv w:val="1"/>
      <w:marLeft w:val="0"/>
      <w:marRight w:val="0"/>
      <w:marTop w:val="0"/>
      <w:marBottom w:val="0"/>
      <w:divBdr>
        <w:top w:val="none" w:sz="0" w:space="0" w:color="auto"/>
        <w:left w:val="none" w:sz="0" w:space="0" w:color="auto"/>
        <w:bottom w:val="none" w:sz="0" w:space="0" w:color="auto"/>
        <w:right w:val="none" w:sz="0" w:space="0" w:color="auto"/>
      </w:divBdr>
    </w:div>
    <w:div w:id="408816144">
      <w:bodyDiv w:val="1"/>
      <w:marLeft w:val="0"/>
      <w:marRight w:val="0"/>
      <w:marTop w:val="0"/>
      <w:marBottom w:val="0"/>
      <w:divBdr>
        <w:top w:val="none" w:sz="0" w:space="0" w:color="auto"/>
        <w:left w:val="none" w:sz="0" w:space="0" w:color="auto"/>
        <w:bottom w:val="none" w:sz="0" w:space="0" w:color="auto"/>
        <w:right w:val="none" w:sz="0" w:space="0" w:color="auto"/>
      </w:divBdr>
    </w:div>
    <w:div w:id="420957020">
      <w:bodyDiv w:val="1"/>
      <w:marLeft w:val="0"/>
      <w:marRight w:val="0"/>
      <w:marTop w:val="0"/>
      <w:marBottom w:val="0"/>
      <w:divBdr>
        <w:top w:val="none" w:sz="0" w:space="0" w:color="auto"/>
        <w:left w:val="none" w:sz="0" w:space="0" w:color="auto"/>
        <w:bottom w:val="none" w:sz="0" w:space="0" w:color="auto"/>
        <w:right w:val="none" w:sz="0" w:space="0" w:color="auto"/>
      </w:divBdr>
    </w:div>
    <w:div w:id="429283094">
      <w:bodyDiv w:val="1"/>
      <w:marLeft w:val="0"/>
      <w:marRight w:val="0"/>
      <w:marTop w:val="0"/>
      <w:marBottom w:val="0"/>
      <w:divBdr>
        <w:top w:val="none" w:sz="0" w:space="0" w:color="auto"/>
        <w:left w:val="none" w:sz="0" w:space="0" w:color="auto"/>
        <w:bottom w:val="none" w:sz="0" w:space="0" w:color="auto"/>
        <w:right w:val="none" w:sz="0" w:space="0" w:color="auto"/>
      </w:divBdr>
    </w:div>
    <w:div w:id="444617119">
      <w:bodyDiv w:val="1"/>
      <w:marLeft w:val="0"/>
      <w:marRight w:val="0"/>
      <w:marTop w:val="0"/>
      <w:marBottom w:val="0"/>
      <w:divBdr>
        <w:top w:val="none" w:sz="0" w:space="0" w:color="auto"/>
        <w:left w:val="none" w:sz="0" w:space="0" w:color="auto"/>
        <w:bottom w:val="none" w:sz="0" w:space="0" w:color="auto"/>
        <w:right w:val="none" w:sz="0" w:space="0" w:color="auto"/>
      </w:divBdr>
    </w:div>
    <w:div w:id="471098969">
      <w:bodyDiv w:val="1"/>
      <w:marLeft w:val="0"/>
      <w:marRight w:val="0"/>
      <w:marTop w:val="0"/>
      <w:marBottom w:val="0"/>
      <w:divBdr>
        <w:top w:val="none" w:sz="0" w:space="0" w:color="auto"/>
        <w:left w:val="none" w:sz="0" w:space="0" w:color="auto"/>
        <w:bottom w:val="none" w:sz="0" w:space="0" w:color="auto"/>
        <w:right w:val="none" w:sz="0" w:space="0" w:color="auto"/>
      </w:divBdr>
    </w:div>
    <w:div w:id="496460394">
      <w:bodyDiv w:val="1"/>
      <w:marLeft w:val="0"/>
      <w:marRight w:val="0"/>
      <w:marTop w:val="0"/>
      <w:marBottom w:val="0"/>
      <w:divBdr>
        <w:top w:val="none" w:sz="0" w:space="0" w:color="auto"/>
        <w:left w:val="none" w:sz="0" w:space="0" w:color="auto"/>
        <w:bottom w:val="none" w:sz="0" w:space="0" w:color="auto"/>
        <w:right w:val="none" w:sz="0" w:space="0" w:color="auto"/>
      </w:divBdr>
    </w:div>
    <w:div w:id="501313102">
      <w:bodyDiv w:val="1"/>
      <w:marLeft w:val="0"/>
      <w:marRight w:val="0"/>
      <w:marTop w:val="0"/>
      <w:marBottom w:val="0"/>
      <w:divBdr>
        <w:top w:val="none" w:sz="0" w:space="0" w:color="auto"/>
        <w:left w:val="none" w:sz="0" w:space="0" w:color="auto"/>
        <w:bottom w:val="none" w:sz="0" w:space="0" w:color="auto"/>
        <w:right w:val="none" w:sz="0" w:space="0" w:color="auto"/>
      </w:divBdr>
    </w:div>
    <w:div w:id="528951473">
      <w:bodyDiv w:val="1"/>
      <w:marLeft w:val="0"/>
      <w:marRight w:val="0"/>
      <w:marTop w:val="0"/>
      <w:marBottom w:val="0"/>
      <w:divBdr>
        <w:top w:val="none" w:sz="0" w:space="0" w:color="auto"/>
        <w:left w:val="none" w:sz="0" w:space="0" w:color="auto"/>
        <w:bottom w:val="none" w:sz="0" w:space="0" w:color="auto"/>
        <w:right w:val="none" w:sz="0" w:space="0" w:color="auto"/>
      </w:divBdr>
    </w:div>
    <w:div w:id="559366760">
      <w:bodyDiv w:val="1"/>
      <w:marLeft w:val="0"/>
      <w:marRight w:val="0"/>
      <w:marTop w:val="0"/>
      <w:marBottom w:val="0"/>
      <w:divBdr>
        <w:top w:val="none" w:sz="0" w:space="0" w:color="auto"/>
        <w:left w:val="none" w:sz="0" w:space="0" w:color="auto"/>
        <w:bottom w:val="none" w:sz="0" w:space="0" w:color="auto"/>
        <w:right w:val="none" w:sz="0" w:space="0" w:color="auto"/>
      </w:divBdr>
    </w:div>
    <w:div w:id="563612632">
      <w:bodyDiv w:val="1"/>
      <w:marLeft w:val="0"/>
      <w:marRight w:val="0"/>
      <w:marTop w:val="0"/>
      <w:marBottom w:val="0"/>
      <w:divBdr>
        <w:top w:val="none" w:sz="0" w:space="0" w:color="auto"/>
        <w:left w:val="none" w:sz="0" w:space="0" w:color="auto"/>
        <w:bottom w:val="none" w:sz="0" w:space="0" w:color="auto"/>
        <w:right w:val="none" w:sz="0" w:space="0" w:color="auto"/>
      </w:divBdr>
    </w:div>
    <w:div w:id="588122968">
      <w:bodyDiv w:val="1"/>
      <w:marLeft w:val="0"/>
      <w:marRight w:val="0"/>
      <w:marTop w:val="0"/>
      <w:marBottom w:val="0"/>
      <w:divBdr>
        <w:top w:val="none" w:sz="0" w:space="0" w:color="auto"/>
        <w:left w:val="none" w:sz="0" w:space="0" w:color="auto"/>
        <w:bottom w:val="none" w:sz="0" w:space="0" w:color="auto"/>
        <w:right w:val="none" w:sz="0" w:space="0" w:color="auto"/>
      </w:divBdr>
    </w:div>
    <w:div w:id="596712814">
      <w:bodyDiv w:val="1"/>
      <w:marLeft w:val="0"/>
      <w:marRight w:val="0"/>
      <w:marTop w:val="0"/>
      <w:marBottom w:val="0"/>
      <w:divBdr>
        <w:top w:val="none" w:sz="0" w:space="0" w:color="auto"/>
        <w:left w:val="none" w:sz="0" w:space="0" w:color="auto"/>
        <w:bottom w:val="none" w:sz="0" w:space="0" w:color="auto"/>
        <w:right w:val="none" w:sz="0" w:space="0" w:color="auto"/>
      </w:divBdr>
    </w:div>
    <w:div w:id="605969997">
      <w:bodyDiv w:val="1"/>
      <w:marLeft w:val="0"/>
      <w:marRight w:val="0"/>
      <w:marTop w:val="0"/>
      <w:marBottom w:val="0"/>
      <w:divBdr>
        <w:top w:val="none" w:sz="0" w:space="0" w:color="auto"/>
        <w:left w:val="none" w:sz="0" w:space="0" w:color="auto"/>
        <w:bottom w:val="none" w:sz="0" w:space="0" w:color="auto"/>
        <w:right w:val="none" w:sz="0" w:space="0" w:color="auto"/>
      </w:divBdr>
    </w:div>
    <w:div w:id="614097850">
      <w:bodyDiv w:val="1"/>
      <w:marLeft w:val="0"/>
      <w:marRight w:val="0"/>
      <w:marTop w:val="0"/>
      <w:marBottom w:val="0"/>
      <w:divBdr>
        <w:top w:val="none" w:sz="0" w:space="0" w:color="auto"/>
        <w:left w:val="none" w:sz="0" w:space="0" w:color="auto"/>
        <w:bottom w:val="none" w:sz="0" w:space="0" w:color="auto"/>
        <w:right w:val="none" w:sz="0" w:space="0" w:color="auto"/>
      </w:divBdr>
    </w:div>
    <w:div w:id="626854644">
      <w:bodyDiv w:val="1"/>
      <w:marLeft w:val="0"/>
      <w:marRight w:val="0"/>
      <w:marTop w:val="0"/>
      <w:marBottom w:val="0"/>
      <w:divBdr>
        <w:top w:val="none" w:sz="0" w:space="0" w:color="auto"/>
        <w:left w:val="none" w:sz="0" w:space="0" w:color="auto"/>
        <w:bottom w:val="none" w:sz="0" w:space="0" w:color="auto"/>
        <w:right w:val="none" w:sz="0" w:space="0" w:color="auto"/>
      </w:divBdr>
    </w:div>
    <w:div w:id="631056320">
      <w:bodyDiv w:val="1"/>
      <w:marLeft w:val="0"/>
      <w:marRight w:val="0"/>
      <w:marTop w:val="0"/>
      <w:marBottom w:val="0"/>
      <w:divBdr>
        <w:top w:val="none" w:sz="0" w:space="0" w:color="auto"/>
        <w:left w:val="none" w:sz="0" w:space="0" w:color="auto"/>
        <w:bottom w:val="none" w:sz="0" w:space="0" w:color="auto"/>
        <w:right w:val="none" w:sz="0" w:space="0" w:color="auto"/>
      </w:divBdr>
      <w:divsChild>
        <w:div w:id="188028363">
          <w:marLeft w:val="0"/>
          <w:marRight w:val="0"/>
          <w:marTop w:val="0"/>
          <w:marBottom w:val="0"/>
          <w:divBdr>
            <w:top w:val="none" w:sz="0" w:space="0" w:color="auto"/>
            <w:left w:val="none" w:sz="0" w:space="0" w:color="auto"/>
            <w:bottom w:val="none" w:sz="0" w:space="0" w:color="auto"/>
            <w:right w:val="none" w:sz="0" w:space="0" w:color="auto"/>
          </w:divBdr>
        </w:div>
        <w:div w:id="273365163">
          <w:marLeft w:val="0"/>
          <w:marRight w:val="0"/>
          <w:marTop w:val="0"/>
          <w:marBottom w:val="0"/>
          <w:divBdr>
            <w:top w:val="none" w:sz="0" w:space="0" w:color="auto"/>
            <w:left w:val="none" w:sz="0" w:space="0" w:color="auto"/>
            <w:bottom w:val="none" w:sz="0" w:space="0" w:color="auto"/>
            <w:right w:val="none" w:sz="0" w:space="0" w:color="auto"/>
          </w:divBdr>
        </w:div>
        <w:div w:id="907303411">
          <w:marLeft w:val="0"/>
          <w:marRight w:val="0"/>
          <w:marTop w:val="0"/>
          <w:marBottom w:val="0"/>
          <w:divBdr>
            <w:top w:val="none" w:sz="0" w:space="0" w:color="auto"/>
            <w:left w:val="none" w:sz="0" w:space="0" w:color="auto"/>
            <w:bottom w:val="none" w:sz="0" w:space="0" w:color="auto"/>
            <w:right w:val="none" w:sz="0" w:space="0" w:color="auto"/>
          </w:divBdr>
        </w:div>
        <w:div w:id="1447310012">
          <w:marLeft w:val="0"/>
          <w:marRight w:val="0"/>
          <w:marTop w:val="0"/>
          <w:marBottom w:val="0"/>
          <w:divBdr>
            <w:top w:val="none" w:sz="0" w:space="0" w:color="auto"/>
            <w:left w:val="none" w:sz="0" w:space="0" w:color="auto"/>
            <w:bottom w:val="none" w:sz="0" w:space="0" w:color="auto"/>
            <w:right w:val="none" w:sz="0" w:space="0" w:color="auto"/>
          </w:divBdr>
        </w:div>
        <w:div w:id="1756975272">
          <w:marLeft w:val="0"/>
          <w:marRight w:val="0"/>
          <w:marTop w:val="0"/>
          <w:marBottom w:val="0"/>
          <w:divBdr>
            <w:top w:val="none" w:sz="0" w:space="0" w:color="auto"/>
            <w:left w:val="none" w:sz="0" w:space="0" w:color="auto"/>
            <w:bottom w:val="none" w:sz="0" w:space="0" w:color="auto"/>
            <w:right w:val="none" w:sz="0" w:space="0" w:color="auto"/>
          </w:divBdr>
        </w:div>
        <w:div w:id="1875725067">
          <w:marLeft w:val="0"/>
          <w:marRight w:val="0"/>
          <w:marTop w:val="0"/>
          <w:marBottom w:val="0"/>
          <w:divBdr>
            <w:top w:val="none" w:sz="0" w:space="0" w:color="auto"/>
            <w:left w:val="none" w:sz="0" w:space="0" w:color="auto"/>
            <w:bottom w:val="none" w:sz="0" w:space="0" w:color="auto"/>
            <w:right w:val="none" w:sz="0" w:space="0" w:color="auto"/>
          </w:divBdr>
        </w:div>
        <w:div w:id="2122723341">
          <w:marLeft w:val="0"/>
          <w:marRight w:val="0"/>
          <w:marTop w:val="0"/>
          <w:marBottom w:val="0"/>
          <w:divBdr>
            <w:top w:val="none" w:sz="0" w:space="0" w:color="auto"/>
            <w:left w:val="none" w:sz="0" w:space="0" w:color="auto"/>
            <w:bottom w:val="none" w:sz="0" w:space="0" w:color="auto"/>
            <w:right w:val="none" w:sz="0" w:space="0" w:color="auto"/>
          </w:divBdr>
        </w:div>
        <w:div w:id="2131314060">
          <w:marLeft w:val="0"/>
          <w:marRight w:val="0"/>
          <w:marTop w:val="0"/>
          <w:marBottom w:val="0"/>
          <w:divBdr>
            <w:top w:val="none" w:sz="0" w:space="0" w:color="auto"/>
            <w:left w:val="none" w:sz="0" w:space="0" w:color="auto"/>
            <w:bottom w:val="none" w:sz="0" w:space="0" w:color="auto"/>
            <w:right w:val="none" w:sz="0" w:space="0" w:color="auto"/>
          </w:divBdr>
        </w:div>
      </w:divsChild>
    </w:div>
    <w:div w:id="633028959">
      <w:bodyDiv w:val="1"/>
      <w:marLeft w:val="0"/>
      <w:marRight w:val="0"/>
      <w:marTop w:val="0"/>
      <w:marBottom w:val="0"/>
      <w:divBdr>
        <w:top w:val="none" w:sz="0" w:space="0" w:color="auto"/>
        <w:left w:val="none" w:sz="0" w:space="0" w:color="auto"/>
        <w:bottom w:val="none" w:sz="0" w:space="0" w:color="auto"/>
        <w:right w:val="none" w:sz="0" w:space="0" w:color="auto"/>
      </w:divBdr>
    </w:div>
    <w:div w:id="635373906">
      <w:bodyDiv w:val="1"/>
      <w:marLeft w:val="0"/>
      <w:marRight w:val="0"/>
      <w:marTop w:val="0"/>
      <w:marBottom w:val="0"/>
      <w:divBdr>
        <w:top w:val="none" w:sz="0" w:space="0" w:color="auto"/>
        <w:left w:val="none" w:sz="0" w:space="0" w:color="auto"/>
        <w:bottom w:val="none" w:sz="0" w:space="0" w:color="auto"/>
        <w:right w:val="none" w:sz="0" w:space="0" w:color="auto"/>
      </w:divBdr>
    </w:div>
    <w:div w:id="636301752">
      <w:bodyDiv w:val="1"/>
      <w:marLeft w:val="0"/>
      <w:marRight w:val="0"/>
      <w:marTop w:val="0"/>
      <w:marBottom w:val="0"/>
      <w:divBdr>
        <w:top w:val="none" w:sz="0" w:space="0" w:color="auto"/>
        <w:left w:val="none" w:sz="0" w:space="0" w:color="auto"/>
        <w:bottom w:val="none" w:sz="0" w:space="0" w:color="auto"/>
        <w:right w:val="none" w:sz="0" w:space="0" w:color="auto"/>
      </w:divBdr>
    </w:div>
    <w:div w:id="639656217">
      <w:bodyDiv w:val="1"/>
      <w:marLeft w:val="0"/>
      <w:marRight w:val="0"/>
      <w:marTop w:val="0"/>
      <w:marBottom w:val="0"/>
      <w:divBdr>
        <w:top w:val="none" w:sz="0" w:space="0" w:color="auto"/>
        <w:left w:val="none" w:sz="0" w:space="0" w:color="auto"/>
        <w:bottom w:val="none" w:sz="0" w:space="0" w:color="auto"/>
        <w:right w:val="none" w:sz="0" w:space="0" w:color="auto"/>
      </w:divBdr>
    </w:div>
    <w:div w:id="670983869">
      <w:bodyDiv w:val="1"/>
      <w:marLeft w:val="0"/>
      <w:marRight w:val="0"/>
      <w:marTop w:val="0"/>
      <w:marBottom w:val="0"/>
      <w:divBdr>
        <w:top w:val="none" w:sz="0" w:space="0" w:color="auto"/>
        <w:left w:val="none" w:sz="0" w:space="0" w:color="auto"/>
        <w:bottom w:val="none" w:sz="0" w:space="0" w:color="auto"/>
        <w:right w:val="none" w:sz="0" w:space="0" w:color="auto"/>
      </w:divBdr>
    </w:div>
    <w:div w:id="675569874">
      <w:bodyDiv w:val="1"/>
      <w:marLeft w:val="0"/>
      <w:marRight w:val="0"/>
      <w:marTop w:val="0"/>
      <w:marBottom w:val="0"/>
      <w:divBdr>
        <w:top w:val="none" w:sz="0" w:space="0" w:color="auto"/>
        <w:left w:val="none" w:sz="0" w:space="0" w:color="auto"/>
        <w:bottom w:val="none" w:sz="0" w:space="0" w:color="auto"/>
        <w:right w:val="none" w:sz="0" w:space="0" w:color="auto"/>
      </w:divBdr>
    </w:div>
    <w:div w:id="693504914">
      <w:bodyDiv w:val="1"/>
      <w:marLeft w:val="0"/>
      <w:marRight w:val="0"/>
      <w:marTop w:val="0"/>
      <w:marBottom w:val="0"/>
      <w:divBdr>
        <w:top w:val="none" w:sz="0" w:space="0" w:color="auto"/>
        <w:left w:val="none" w:sz="0" w:space="0" w:color="auto"/>
        <w:bottom w:val="none" w:sz="0" w:space="0" w:color="auto"/>
        <w:right w:val="none" w:sz="0" w:space="0" w:color="auto"/>
      </w:divBdr>
    </w:div>
    <w:div w:id="703675899">
      <w:bodyDiv w:val="1"/>
      <w:marLeft w:val="0"/>
      <w:marRight w:val="0"/>
      <w:marTop w:val="0"/>
      <w:marBottom w:val="0"/>
      <w:divBdr>
        <w:top w:val="none" w:sz="0" w:space="0" w:color="auto"/>
        <w:left w:val="none" w:sz="0" w:space="0" w:color="auto"/>
        <w:bottom w:val="none" w:sz="0" w:space="0" w:color="auto"/>
        <w:right w:val="none" w:sz="0" w:space="0" w:color="auto"/>
      </w:divBdr>
    </w:div>
    <w:div w:id="715810799">
      <w:bodyDiv w:val="1"/>
      <w:marLeft w:val="0"/>
      <w:marRight w:val="0"/>
      <w:marTop w:val="0"/>
      <w:marBottom w:val="0"/>
      <w:divBdr>
        <w:top w:val="none" w:sz="0" w:space="0" w:color="auto"/>
        <w:left w:val="none" w:sz="0" w:space="0" w:color="auto"/>
        <w:bottom w:val="none" w:sz="0" w:space="0" w:color="auto"/>
        <w:right w:val="none" w:sz="0" w:space="0" w:color="auto"/>
      </w:divBdr>
    </w:div>
    <w:div w:id="744572154">
      <w:bodyDiv w:val="1"/>
      <w:marLeft w:val="0"/>
      <w:marRight w:val="0"/>
      <w:marTop w:val="0"/>
      <w:marBottom w:val="0"/>
      <w:divBdr>
        <w:top w:val="none" w:sz="0" w:space="0" w:color="auto"/>
        <w:left w:val="none" w:sz="0" w:space="0" w:color="auto"/>
        <w:bottom w:val="none" w:sz="0" w:space="0" w:color="auto"/>
        <w:right w:val="none" w:sz="0" w:space="0" w:color="auto"/>
      </w:divBdr>
    </w:div>
    <w:div w:id="761032648">
      <w:bodyDiv w:val="1"/>
      <w:marLeft w:val="0"/>
      <w:marRight w:val="0"/>
      <w:marTop w:val="0"/>
      <w:marBottom w:val="0"/>
      <w:divBdr>
        <w:top w:val="none" w:sz="0" w:space="0" w:color="auto"/>
        <w:left w:val="none" w:sz="0" w:space="0" w:color="auto"/>
        <w:bottom w:val="none" w:sz="0" w:space="0" w:color="auto"/>
        <w:right w:val="none" w:sz="0" w:space="0" w:color="auto"/>
      </w:divBdr>
    </w:div>
    <w:div w:id="847254974">
      <w:bodyDiv w:val="1"/>
      <w:marLeft w:val="0"/>
      <w:marRight w:val="0"/>
      <w:marTop w:val="0"/>
      <w:marBottom w:val="0"/>
      <w:divBdr>
        <w:top w:val="none" w:sz="0" w:space="0" w:color="auto"/>
        <w:left w:val="none" w:sz="0" w:space="0" w:color="auto"/>
        <w:bottom w:val="none" w:sz="0" w:space="0" w:color="auto"/>
        <w:right w:val="none" w:sz="0" w:space="0" w:color="auto"/>
      </w:divBdr>
    </w:div>
    <w:div w:id="871187311">
      <w:bodyDiv w:val="1"/>
      <w:marLeft w:val="0"/>
      <w:marRight w:val="0"/>
      <w:marTop w:val="0"/>
      <w:marBottom w:val="0"/>
      <w:divBdr>
        <w:top w:val="none" w:sz="0" w:space="0" w:color="auto"/>
        <w:left w:val="none" w:sz="0" w:space="0" w:color="auto"/>
        <w:bottom w:val="none" w:sz="0" w:space="0" w:color="auto"/>
        <w:right w:val="none" w:sz="0" w:space="0" w:color="auto"/>
      </w:divBdr>
    </w:div>
    <w:div w:id="875502653">
      <w:bodyDiv w:val="1"/>
      <w:marLeft w:val="0"/>
      <w:marRight w:val="0"/>
      <w:marTop w:val="0"/>
      <w:marBottom w:val="0"/>
      <w:divBdr>
        <w:top w:val="none" w:sz="0" w:space="0" w:color="auto"/>
        <w:left w:val="none" w:sz="0" w:space="0" w:color="auto"/>
        <w:bottom w:val="none" w:sz="0" w:space="0" w:color="auto"/>
        <w:right w:val="none" w:sz="0" w:space="0" w:color="auto"/>
      </w:divBdr>
    </w:div>
    <w:div w:id="885722714">
      <w:bodyDiv w:val="1"/>
      <w:marLeft w:val="0"/>
      <w:marRight w:val="0"/>
      <w:marTop w:val="0"/>
      <w:marBottom w:val="0"/>
      <w:divBdr>
        <w:top w:val="none" w:sz="0" w:space="0" w:color="auto"/>
        <w:left w:val="none" w:sz="0" w:space="0" w:color="auto"/>
        <w:bottom w:val="none" w:sz="0" w:space="0" w:color="auto"/>
        <w:right w:val="none" w:sz="0" w:space="0" w:color="auto"/>
      </w:divBdr>
    </w:div>
    <w:div w:id="902059558">
      <w:bodyDiv w:val="1"/>
      <w:marLeft w:val="0"/>
      <w:marRight w:val="0"/>
      <w:marTop w:val="0"/>
      <w:marBottom w:val="0"/>
      <w:divBdr>
        <w:top w:val="none" w:sz="0" w:space="0" w:color="auto"/>
        <w:left w:val="none" w:sz="0" w:space="0" w:color="auto"/>
        <w:bottom w:val="none" w:sz="0" w:space="0" w:color="auto"/>
        <w:right w:val="none" w:sz="0" w:space="0" w:color="auto"/>
      </w:divBdr>
    </w:div>
    <w:div w:id="918950739">
      <w:bodyDiv w:val="1"/>
      <w:marLeft w:val="0"/>
      <w:marRight w:val="0"/>
      <w:marTop w:val="0"/>
      <w:marBottom w:val="0"/>
      <w:divBdr>
        <w:top w:val="none" w:sz="0" w:space="0" w:color="auto"/>
        <w:left w:val="none" w:sz="0" w:space="0" w:color="auto"/>
        <w:bottom w:val="none" w:sz="0" w:space="0" w:color="auto"/>
        <w:right w:val="none" w:sz="0" w:space="0" w:color="auto"/>
      </w:divBdr>
    </w:div>
    <w:div w:id="932206802">
      <w:bodyDiv w:val="1"/>
      <w:marLeft w:val="0"/>
      <w:marRight w:val="0"/>
      <w:marTop w:val="0"/>
      <w:marBottom w:val="0"/>
      <w:divBdr>
        <w:top w:val="none" w:sz="0" w:space="0" w:color="auto"/>
        <w:left w:val="none" w:sz="0" w:space="0" w:color="auto"/>
        <w:bottom w:val="none" w:sz="0" w:space="0" w:color="auto"/>
        <w:right w:val="none" w:sz="0" w:space="0" w:color="auto"/>
      </w:divBdr>
    </w:div>
    <w:div w:id="936980669">
      <w:bodyDiv w:val="1"/>
      <w:marLeft w:val="0"/>
      <w:marRight w:val="0"/>
      <w:marTop w:val="0"/>
      <w:marBottom w:val="0"/>
      <w:divBdr>
        <w:top w:val="none" w:sz="0" w:space="0" w:color="auto"/>
        <w:left w:val="none" w:sz="0" w:space="0" w:color="auto"/>
        <w:bottom w:val="none" w:sz="0" w:space="0" w:color="auto"/>
        <w:right w:val="none" w:sz="0" w:space="0" w:color="auto"/>
      </w:divBdr>
      <w:divsChild>
        <w:div w:id="431241705">
          <w:marLeft w:val="0"/>
          <w:marRight w:val="0"/>
          <w:marTop w:val="0"/>
          <w:marBottom w:val="0"/>
          <w:divBdr>
            <w:top w:val="none" w:sz="0" w:space="0" w:color="auto"/>
            <w:left w:val="none" w:sz="0" w:space="0" w:color="auto"/>
            <w:bottom w:val="none" w:sz="0" w:space="0" w:color="auto"/>
            <w:right w:val="none" w:sz="0" w:space="0" w:color="auto"/>
          </w:divBdr>
          <w:divsChild>
            <w:div w:id="1939285752">
              <w:marLeft w:val="0"/>
              <w:marRight w:val="0"/>
              <w:marTop w:val="0"/>
              <w:marBottom w:val="0"/>
              <w:divBdr>
                <w:top w:val="none" w:sz="0" w:space="0" w:color="auto"/>
                <w:left w:val="none" w:sz="0" w:space="0" w:color="auto"/>
                <w:bottom w:val="none" w:sz="0" w:space="0" w:color="auto"/>
                <w:right w:val="none" w:sz="0" w:space="0" w:color="auto"/>
              </w:divBdr>
            </w:div>
          </w:divsChild>
        </w:div>
        <w:div w:id="1690912029">
          <w:marLeft w:val="0"/>
          <w:marRight w:val="0"/>
          <w:marTop w:val="0"/>
          <w:marBottom w:val="0"/>
          <w:divBdr>
            <w:top w:val="none" w:sz="0" w:space="0" w:color="auto"/>
            <w:left w:val="none" w:sz="0" w:space="0" w:color="auto"/>
            <w:bottom w:val="none" w:sz="0" w:space="0" w:color="auto"/>
            <w:right w:val="none" w:sz="0" w:space="0" w:color="auto"/>
          </w:divBdr>
        </w:div>
      </w:divsChild>
    </w:div>
    <w:div w:id="947660673">
      <w:bodyDiv w:val="1"/>
      <w:marLeft w:val="0"/>
      <w:marRight w:val="0"/>
      <w:marTop w:val="0"/>
      <w:marBottom w:val="0"/>
      <w:divBdr>
        <w:top w:val="none" w:sz="0" w:space="0" w:color="auto"/>
        <w:left w:val="none" w:sz="0" w:space="0" w:color="auto"/>
        <w:bottom w:val="none" w:sz="0" w:space="0" w:color="auto"/>
        <w:right w:val="none" w:sz="0" w:space="0" w:color="auto"/>
      </w:divBdr>
    </w:div>
    <w:div w:id="952519775">
      <w:bodyDiv w:val="1"/>
      <w:marLeft w:val="0"/>
      <w:marRight w:val="0"/>
      <w:marTop w:val="0"/>
      <w:marBottom w:val="0"/>
      <w:divBdr>
        <w:top w:val="none" w:sz="0" w:space="0" w:color="auto"/>
        <w:left w:val="none" w:sz="0" w:space="0" w:color="auto"/>
        <w:bottom w:val="none" w:sz="0" w:space="0" w:color="auto"/>
        <w:right w:val="none" w:sz="0" w:space="0" w:color="auto"/>
      </w:divBdr>
    </w:div>
    <w:div w:id="974872577">
      <w:bodyDiv w:val="1"/>
      <w:marLeft w:val="0"/>
      <w:marRight w:val="0"/>
      <w:marTop w:val="0"/>
      <w:marBottom w:val="0"/>
      <w:divBdr>
        <w:top w:val="none" w:sz="0" w:space="0" w:color="auto"/>
        <w:left w:val="none" w:sz="0" w:space="0" w:color="auto"/>
        <w:bottom w:val="none" w:sz="0" w:space="0" w:color="auto"/>
        <w:right w:val="none" w:sz="0" w:space="0" w:color="auto"/>
      </w:divBdr>
    </w:div>
    <w:div w:id="981233540">
      <w:bodyDiv w:val="1"/>
      <w:marLeft w:val="0"/>
      <w:marRight w:val="0"/>
      <w:marTop w:val="0"/>
      <w:marBottom w:val="0"/>
      <w:divBdr>
        <w:top w:val="none" w:sz="0" w:space="0" w:color="auto"/>
        <w:left w:val="none" w:sz="0" w:space="0" w:color="auto"/>
        <w:bottom w:val="none" w:sz="0" w:space="0" w:color="auto"/>
        <w:right w:val="none" w:sz="0" w:space="0" w:color="auto"/>
      </w:divBdr>
    </w:div>
    <w:div w:id="985205586">
      <w:bodyDiv w:val="1"/>
      <w:marLeft w:val="0"/>
      <w:marRight w:val="0"/>
      <w:marTop w:val="0"/>
      <w:marBottom w:val="0"/>
      <w:divBdr>
        <w:top w:val="none" w:sz="0" w:space="0" w:color="auto"/>
        <w:left w:val="none" w:sz="0" w:space="0" w:color="auto"/>
        <w:bottom w:val="none" w:sz="0" w:space="0" w:color="auto"/>
        <w:right w:val="none" w:sz="0" w:space="0" w:color="auto"/>
      </w:divBdr>
    </w:div>
    <w:div w:id="986321632">
      <w:bodyDiv w:val="1"/>
      <w:marLeft w:val="0"/>
      <w:marRight w:val="0"/>
      <w:marTop w:val="0"/>
      <w:marBottom w:val="0"/>
      <w:divBdr>
        <w:top w:val="none" w:sz="0" w:space="0" w:color="auto"/>
        <w:left w:val="none" w:sz="0" w:space="0" w:color="auto"/>
        <w:bottom w:val="none" w:sz="0" w:space="0" w:color="auto"/>
        <w:right w:val="none" w:sz="0" w:space="0" w:color="auto"/>
      </w:divBdr>
      <w:divsChild>
        <w:div w:id="718209369">
          <w:marLeft w:val="0"/>
          <w:marRight w:val="0"/>
          <w:marTop w:val="0"/>
          <w:marBottom w:val="0"/>
          <w:divBdr>
            <w:top w:val="none" w:sz="0" w:space="0" w:color="auto"/>
            <w:left w:val="none" w:sz="0" w:space="0" w:color="auto"/>
            <w:bottom w:val="none" w:sz="0" w:space="0" w:color="auto"/>
            <w:right w:val="none" w:sz="0" w:space="0" w:color="auto"/>
          </w:divBdr>
          <w:divsChild>
            <w:div w:id="183136568">
              <w:marLeft w:val="0"/>
              <w:marRight w:val="0"/>
              <w:marTop w:val="0"/>
              <w:marBottom w:val="0"/>
              <w:divBdr>
                <w:top w:val="none" w:sz="0" w:space="0" w:color="auto"/>
                <w:left w:val="none" w:sz="0" w:space="0" w:color="auto"/>
                <w:bottom w:val="none" w:sz="0" w:space="0" w:color="auto"/>
                <w:right w:val="none" w:sz="0" w:space="0" w:color="auto"/>
              </w:divBdr>
            </w:div>
          </w:divsChild>
        </w:div>
        <w:div w:id="1197888068">
          <w:marLeft w:val="0"/>
          <w:marRight w:val="0"/>
          <w:marTop w:val="0"/>
          <w:marBottom w:val="0"/>
          <w:divBdr>
            <w:top w:val="none" w:sz="0" w:space="0" w:color="auto"/>
            <w:left w:val="none" w:sz="0" w:space="0" w:color="auto"/>
            <w:bottom w:val="none" w:sz="0" w:space="0" w:color="auto"/>
            <w:right w:val="none" w:sz="0" w:space="0" w:color="auto"/>
          </w:divBdr>
        </w:div>
      </w:divsChild>
    </w:div>
    <w:div w:id="994410188">
      <w:bodyDiv w:val="1"/>
      <w:marLeft w:val="0"/>
      <w:marRight w:val="0"/>
      <w:marTop w:val="0"/>
      <w:marBottom w:val="0"/>
      <w:divBdr>
        <w:top w:val="none" w:sz="0" w:space="0" w:color="auto"/>
        <w:left w:val="none" w:sz="0" w:space="0" w:color="auto"/>
        <w:bottom w:val="none" w:sz="0" w:space="0" w:color="auto"/>
        <w:right w:val="none" w:sz="0" w:space="0" w:color="auto"/>
      </w:divBdr>
    </w:div>
    <w:div w:id="996373644">
      <w:bodyDiv w:val="1"/>
      <w:marLeft w:val="0"/>
      <w:marRight w:val="0"/>
      <w:marTop w:val="0"/>
      <w:marBottom w:val="0"/>
      <w:divBdr>
        <w:top w:val="none" w:sz="0" w:space="0" w:color="auto"/>
        <w:left w:val="none" w:sz="0" w:space="0" w:color="auto"/>
        <w:bottom w:val="none" w:sz="0" w:space="0" w:color="auto"/>
        <w:right w:val="none" w:sz="0" w:space="0" w:color="auto"/>
      </w:divBdr>
    </w:div>
    <w:div w:id="1016033622">
      <w:bodyDiv w:val="1"/>
      <w:marLeft w:val="0"/>
      <w:marRight w:val="0"/>
      <w:marTop w:val="0"/>
      <w:marBottom w:val="0"/>
      <w:divBdr>
        <w:top w:val="none" w:sz="0" w:space="0" w:color="auto"/>
        <w:left w:val="none" w:sz="0" w:space="0" w:color="auto"/>
        <w:bottom w:val="none" w:sz="0" w:space="0" w:color="auto"/>
        <w:right w:val="none" w:sz="0" w:space="0" w:color="auto"/>
      </w:divBdr>
    </w:div>
    <w:div w:id="1036271408">
      <w:bodyDiv w:val="1"/>
      <w:marLeft w:val="0"/>
      <w:marRight w:val="0"/>
      <w:marTop w:val="0"/>
      <w:marBottom w:val="0"/>
      <w:divBdr>
        <w:top w:val="none" w:sz="0" w:space="0" w:color="auto"/>
        <w:left w:val="none" w:sz="0" w:space="0" w:color="auto"/>
        <w:bottom w:val="none" w:sz="0" w:space="0" w:color="auto"/>
        <w:right w:val="none" w:sz="0" w:space="0" w:color="auto"/>
      </w:divBdr>
    </w:div>
    <w:div w:id="1036273801">
      <w:bodyDiv w:val="1"/>
      <w:marLeft w:val="0"/>
      <w:marRight w:val="0"/>
      <w:marTop w:val="0"/>
      <w:marBottom w:val="0"/>
      <w:divBdr>
        <w:top w:val="none" w:sz="0" w:space="0" w:color="auto"/>
        <w:left w:val="none" w:sz="0" w:space="0" w:color="auto"/>
        <w:bottom w:val="none" w:sz="0" w:space="0" w:color="auto"/>
        <w:right w:val="none" w:sz="0" w:space="0" w:color="auto"/>
      </w:divBdr>
    </w:div>
    <w:div w:id="1042175724">
      <w:bodyDiv w:val="1"/>
      <w:marLeft w:val="0"/>
      <w:marRight w:val="0"/>
      <w:marTop w:val="0"/>
      <w:marBottom w:val="0"/>
      <w:divBdr>
        <w:top w:val="none" w:sz="0" w:space="0" w:color="auto"/>
        <w:left w:val="none" w:sz="0" w:space="0" w:color="auto"/>
        <w:bottom w:val="none" w:sz="0" w:space="0" w:color="auto"/>
        <w:right w:val="none" w:sz="0" w:space="0" w:color="auto"/>
      </w:divBdr>
    </w:div>
    <w:div w:id="1057238457">
      <w:bodyDiv w:val="1"/>
      <w:marLeft w:val="0"/>
      <w:marRight w:val="0"/>
      <w:marTop w:val="0"/>
      <w:marBottom w:val="0"/>
      <w:divBdr>
        <w:top w:val="none" w:sz="0" w:space="0" w:color="auto"/>
        <w:left w:val="none" w:sz="0" w:space="0" w:color="auto"/>
        <w:bottom w:val="none" w:sz="0" w:space="0" w:color="auto"/>
        <w:right w:val="none" w:sz="0" w:space="0" w:color="auto"/>
      </w:divBdr>
    </w:div>
    <w:div w:id="1061558531">
      <w:bodyDiv w:val="1"/>
      <w:marLeft w:val="0"/>
      <w:marRight w:val="0"/>
      <w:marTop w:val="0"/>
      <w:marBottom w:val="0"/>
      <w:divBdr>
        <w:top w:val="none" w:sz="0" w:space="0" w:color="auto"/>
        <w:left w:val="none" w:sz="0" w:space="0" w:color="auto"/>
        <w:bottom w:val="none" w:sz="0" w:space="0" w:color="auto"/>
        <w:right w:val="none" w:sz="0" w:space="0" w:color="auto"/>
      </w:divBdr>
    </w:div>
    <w:div w:id="1083795196">
      <w:bodyDiv w:val="1"/>
      <w:marLeft w:val="0"/>
      <w:marRight w:val="0"/>
      <w:marTop w:val="0"/>
      <w:marBottom w:val="0"/>
      <w:divBdr>
        <w:top w:val="none" w:sz="0" w:space="0" w:color="auto"/>
        <w:left w:val="none" w:sz="0" w:space="0" w:color="auto"/>
        <w:bottom w:val="none" w:sz="0" w:space="0" w:color="auto"/>
        <w:right w:val="none" w:sz="0" w:space="0" w:color="auto"/>
      </w:divBdr>
    </w:div>
    <w:div w:id="1094471209">
      <w:bodyDiv w:val="1"/>
      <w:marLeft w:val="0"/>
      <w:marRight w:val="0"/>
      <w:marTop w:val="0"/>
      <w:marBottom w:val="0"/>
      <w:divBdr>
        <w:top w:val="none" w:sz="0" w:space="0" w:color="auto"/>
        <w:left w:val="none" w:sz="0" w:space="0" w:color="auto"/>
        <w:bottom w:val="none" w:sz="0" w:space="0" w:color="auto"/>
        <w:right w:val="none" w:sz="0" w:space="0" w:color="auto"/>
      </w:divBdr>
    </w:div>
    <w:div w:id="1137259700">
      <w:bodyDiv w:val="1"/>
      <w:marLeft w:val="0"/>
      <w:marRight w:val="0"/>
      <w:marTop w:val="0"/>
      <w:marBottom w:val="0"/>
      <w:divBdr>
        <w:top w:val="none" w:sz="0" w:space="0" w:color="auto"/>
        <w:left w:val="none" w:sz="0" w:space="0" w:color="auto"/>
        <w:bottom w:val="none" w:sz="0" w:space="0" w:color="auto"/>
        <w:right w:val="none" w:sz="0" w:space="0" w:color="auto"/>
      </w:divBdr>
    </w:div>
    <w:div w:id="1139809743">
      <w:bodyDiv w:val="1"/>
      <w:marLeft w:val="0"/>
      <w:marRight w:val="0"/>
      <w:marTop w:val="0"/>
      <w:marBottom w:val="0"/>
      <w:divBdr>
        <w:top w:val="none" w:sz="0" w:space="0" w:color="auto"/>
        <w:left w:val="none" w:sz="0" w:space="0" w:color="auto"/>
        <w:bottom w:val="none" w:sz="0" w:space="0" w:color="auto"/>
        <w:right w:val="none" w:sz="0" w:space="0" w:color="auto"/>
      </w:divBdr>
    </w:div>
    <w:div w:id="1170412295">
      <w:bodyDiv w:val="1"/>
      <w:marLeft w:val="0"/>
      <w:marRight w:val="0"/>
      <w:marTop w:val="0"/>
      <w:marBottom w:val="0"/>
      <w:divBdr>
        <w:top w:val="none" w:sz="0" w:space="0" w:color="auto"/>
        <w:left w:val="none" w:sz="0" w:space="0" w:color="auto"/>
        <w:bottom w:val="none" w:sz="0" w:space="0" w:color="auto"/>
        <w:right w:val="none" w:sz="0" w:space="0" w:color="auto"/>
      </w:divBdr>
    </w:div>
    <w:div w:id="1193111172">
      <w:bodyDiv w:val="1"/>
      <w:marLeft w:val="0"/>
      <w:marRight w:val="0"/>
      <w:marTop w:val="0"/>
      <w:marBottom w:val="0"/>
      <w:divBdr>
        <w:top w:val="none" w:sz="0" w:space="0" w:color="auto"/>
        <w:left w:val="none" w:sz="0" w:space="0" w:color="auto"/>
        <w:bottom w:val="none" w:sz="0" w:space="0" w:color="auto"/>
        <w:right w:val="none" w:sz="0" w:space="0" w:color="auto"/>
      </w:divBdr>
      <w:divsChild>
        <w:div w:id="1681152705">
          <w:marLeft w:val="0"/>
          <w:marRight w:val="0"/>
          <w:marTop w:val="0"/>
          <w:marBottom w:val="0"/>
          <w:divBdr>
            <w:top w:val="none" w:sz="0" w:space="0" w:color="auto"/>
            <w:left w:val="none" w:sz="0" w:space="0" w:color="auto"/>
            <w:bottom w:val="none" w:sz="0" w:space="0" w:color="auto"/>
            <w:right w:val="none" w:sz="0" w:space="0" w:color="auto"/>
          </w:divBdr>
        </w:div>
      </w:divsChild>
    </w:div>
    <w:div w:id="1198275224">
      <w:bodyDiv w:val="1"/>
      <w:marLeft w:val="0"/>
      <w:marRight w:val="0"/>
      <w:marTop w:val="0"/>
      <w:marBottom w:val="0"/>
      <w:divBdr>
        <w:top w:val="none" w:sz="0" w:space="0" w:color="auto"/>
        <w:left w:val="none" w:sz="0" w:space="0" w:color="auto"/>
        <w:bottom w:val="none" w:sz="0" w:space="0" w:color="auto"/>
        <w:right w:val="none" w:sz="0" w:space="0" w:color="auto"/>
      </w:divBdr>
    </w:div>
    <w:div w:id="1201094620">
      <w:bodyDiv w:val="1"/>
      <w:marLeft w:val="0"/>
      <w:marRight w:val="0"/>
      <w:marTop w:val="0"/>
      <w:marBottom w:val="0"/>
      <w:divBdr>
        <w:top w:val="none" w:sz="0" w:space="0" w:color="auto"/>
        <w:left w:val="none" w:sz="0" w:space="0" w:color="auto"/>
        <w:bottom w:val="none" w:sz="0" w:space="0" w:color="auto"/>
        <w:right w:val="none" w:sz="0" w:space="0" w:color="auto"/>
      </w:divBdr>
    </w:div>
    <w:div w:id="1291013348">
      <w:bodyDiv w:val="1"/>
      <w:marLeft w:val="0"/>
      <w:marRight w:val="0"/>
      <w:marTop w:val="0"/>
      <w:marBottom w:val="0"/>
      <w:divBdr>
        <w:top w:val="none" w:sz="0" w:space="0" w:color="auto"/>
        <w:left w:val="none" w:sz="0" w:space="0" w:color="auto"/>
        <w:bottom w:val="none" w:sz="0" w:space="0" w:color="auto"/>
        <w:right w:val="none" w:sz="0" w:space="0" w:color="auto"/>
      </w:divBdr>
    </w:div>
    <w:div w:id="1299609018">
      <w:bodyDiv w:val="1"/>
      <w:marLeft w:val="0"/>
      <w:marRight w:val="0"/>
      <w:marTop w:val="0"/>
      <w:marBottom w:val="0"/>
      <w:divBdr>
        <w:top w:val="none" w:sz="0" w:space="0" w:color="auto"/>
        <w:left w:val="none" w:sz="0" w:space="0" w:color="auto"/>
        <w:bottom w:val="none" w:sz="0" w:space="0" w:color="auto"/>
        <w:right w:val="none" w:sz="0" w:space="0" w:color="auto"/>
      </w:divBdr>
    </w:div>
    <w:div w:id="1303387678">
      <w:bodyDiv w:val="1"/>
      <w:marLeft w:val="0"/>
      <w:marRight w:val="0"/>
      <w:marTop w:val="0"/>
      <w:marBottom w:val="0"/>
      <w:divBdr>
        <w:top w:val="none" w:sz="0" w:space="0" w:color="auto"/>
        <w:left w:val="none" w:sz="0" w:space="0" w:color="auto"/>
        <w:bottom w:val="none" w:sz="0" w:space="0" w:color="auto"/>
        <w:right w:val="none" w:sz="0" w:space="0" w:color="auto"/>
      </w:divBdr>
    </w:div>
    <w:div w:id="1318848172">
      <w:bodyDiv w:val="1"/>
      <w:marLeft w:val="0"/>
      <w:marRight w:val="0"/>
      <w:marTop w:val="0"/>
      <w:marBottom w:val="0"/>
      <w:divBdr>
        <w:top w:val="none" w:sz="0" w:space="0" w:color="auto"/>
        <w:left w:val="none" w:sz="0" w:space="0" w:color="auto"/>
        <w:bottom w:val="none" w:sz="0" w:space="0" w:color="auto"/>
        <w:right w:val="none" w:sz="0" w:space="0" w:color="auto"/>
      </w:divBdr>
    </w:div>
    <w:div w:id="1319381507">
      <w:bodyDiv w:val="1"/>
      <w:marLeft w:val="0"/>
      <w:marRight w:val="0"/>
      <w:marTop w:val="0"/>
      <w:marBottom w:val="0"/>
      <w:divBdr>
        <w:top w:val="none" w:sz="0" w:space="0" w:color="auto"/>
        <w:left w:val="none" w:sz="0" w:space="0" w:color="auto"/>
        <w:bottom w:val="none" w:sz="0" w:space="0" w:color="auto"/>
        <w:right w:val="none" w:sz="0" w:space="0" w:color="auto"/>
      </w:divBdr>
    </w:div>
    <w:div w:id="1391003675">
      <w:bodyDiv w:val="1"/>
      <w:marLeft w:val="0"/>
      <w:marRight w:val="0"/>
      <w:marTop w:val="0"/>
      <w:marBottom w:val="0"/>
      <w:divBdr>
        <w:top w:val="none" w:sz="0" w:space="0" w:color="auto"/>
        <w:left w:val="none" w:sz="0" w:space="0" w:color="auto"/>
        <w:bottom w:val="none" w:sz="0" w:space="0" w:color="auto"/>
        <w:right w:val="none" w:sz="0" w:space="0" w:color="auto"/>
      </w:divBdr>
    </w:div>
    <w:div w:id="1405058650">
      <w:bodyDiv w:val="1"/>
      <w:marLeft w:val="0"/>
      <w:marRight w:val="0"/>
      <w:marTop w:val="0"/>
      <w:marBottom w:val="0"/>
      <w:divBdr>
        <w:top w:val="none" w:sz="0" w:space="0" w:color="auto"/>
        <w:left w:val="none" w:sz="0" w:space="0" w:color="auto"/>
        <w:bottom w:val="none" w:sz="0" w:space="0" w:color="auto"/>
        <w:right w:val="none" w:sz="0" w:space="0" w:color="auto"/>
      </w:divBdr>
    </w:div>
    <w:div w:id="1419057355">
      <w:bodyDiv w:val="1"/>
      <w:marLeft w:val="0"/>
      <w:marRight w:val="0"/>
      <w:marTop w:val="0"/>
      <w:marBottom w:val="0"/>
      <w:divBdr>
        <w:top w:val="none" w:sz="0" w:space="0" w:color="auto"/>
        <w:left w:val="none" w:sz="0" w:space="0" w:color="auto"/>
        <w:bottom w:val="none" w:sz="0" w:space="0" w:color="auto"/>
        <w:right w:val="none" w:sz="0" w:space="0" w:color="auto"/>
      </w:divBdr>
    </w:div>
    <w:div w:id="1420521053">
      <w:bodyDiv w:val="1"/>
      <w:marLeft w:val="0"/>
      <w:marRight w:val="0"/>
      <w:marTop w:val="0"/>
      <w:marBottom w:val="0"/>
      <w:divBdr>
        <w:top w:val="none" w:sz="0" w:space="0" w:color="auto"/>
        <w:left w:val="none" w:sz="0" w:space="0" w:color="auto"/>
        <w:bottom w:val="none" w:sz="0" w:space="0" w:color="auto"/>
        <w:right w:val="none" w:sz="0" w:space="0" w:color="auto"/>
      </w:divBdr>
    </w:div>
    <w:div w:id="1436363378">
      <w:bodyDiv w:val="1"/>
      <w:marLeft w:val="0"/>
      <w:marRight w:val="0"/>
      <w:marTop w:val="0"/>
      <w:marBottom w:val="0"/>
      <w:divBdr>
        <w:top w:val="none" w:sz="0" w:space="0" w:color="auto"/>
        <w:left w:val="none" w:sz="0" w:space="0" w:color="auto"/>
        <w:bottom w:val="none" w:sz="0" w:space="0" w:color="auto"/>
        <w:right w:val="none" w:sz="0" w:space="0" w:color="auto"/>
      </w:divBdr>
      <w:divsChild>
        <w:div w:id="602037824">
          <w:marLeft w:val="0"/>
          <w:marRight w:val="0"/>
          <w:marTop w:val="0"/>
          <w:marBottom w:val="0"/>
          <w:divBdr>
            <w:top w:val="none" w:sz="0" w:space="0" w:color="auto"/>
            <w:left w:val="none" w:sz="0" w:space="0" w:color="auto"/>
            <w:bottom w:val="none" w:sz="0" w:space="0" w:color="auto"/>
            <w:right w:val="none" w:sz="0" w:space="0" w:color="auto"/>
          </w:divBdr>
        </w:div>
        <w:div w:id="1766029950">
          <w:marLeft w:val="0"/>
          <w:marRight w:val="0"/>
          <w:marTop w:val="0"/>
          <w:marBottom w:val="0"/>
          <w:divBdr>
            <w:top w:val="none" w:sz="0" w:space="0" w:color="auto"/>
            <w:left w:val="none" w:sz="0" w:space="0" w:color="auto"/>
            <w:bottom w:val="none" w:sz="0" w:space="0" w:color="auto"/>
            <w:right w:val="none" w:sz="0" w:space="0" w:color="auto"/>
          </w:divBdr>
        </w:div>
      </w:divsChild>
    </w:div>
    <w:div w:id="1448771354">
      <w:bodyDiv w:val="1"/>
      <w:marLeft w:val="0"/>
      <w:marRight w:val="0"/>
      <w:marTop w:val="0"/>
      <w:marBottom w:val="0"/>
      <w:divBdr>
        <w:top w:val="none" w:sz="0" w:space="0" w:color="auto"/>
        <w:left w:val="none" w:sz="0" w:space="0" w:color="auto"/>
        <w:bottom w:val="none" w:sz="0" w:space="0" w:color="auto"/>
        <w:right w:val="none" w:sz="0" w:space="0" w:color="auto"/>
      </w:divBdr>
    </w:div>
    <w:div w:id="1449931865">
      <w:bodyDiv w:val="1"/>
      <w:marLeft w:val="0"/>
      <w:marRight w:val="0"/>
      <w:marTop w:val="0"/>
      <w:marBottom w:val="0"/>
      <w:divBdr>
        <w:top w:val="none" w:sz="0" w:space="0" w:color="auto"/>
        <w:left w:val="none" w:sz="0" w:space="0" w:color="auto"/>
        <w:bottom w:val="none" w:sz="0" w:space="0" w:color="auto"/>
        <w:right w:val="none" w:sz="0" w:space="0" w:color="auto"/>
      </w:divBdr>
    </w:div>
    <w:div w:id="1462923025">
      <w:bodyDiv w:val="1"/>
      <w:marLeft w:val="0"/>
      <w:marRight w:val="0"/>
      <w:marTop w:val="0"/>
      <w:marBottom w:val="0"/>
      <w:divBdr>
        <w:top w:val="none" w:sz="0" w:space="0" w:color="auto"/>
        <w:left w:val="none" w:sz="0" w:space="0" w:color="auto"/>
        <w:bottom w:val="none" w:sz="0" w:space="0" w:color="auto"/>
        <w:right w:val="none" w:sz="0" w:space="0" w:color="auto"/>
      </w:divBdr>
    </w:div>
    <w:div w:id="1481922893">
      <w:bodyDiv w:val="1"/>
      <w:marLeft w:val="0"/>
      <w:marRight w:val="0"/>
      <w:marTop w:val="0"/>
      <w:marBottom w:val="0"/>
      <w:divBdr>
        <w:top w:val="none" w:sz="0" w:space="0" w:color="auto"/>
        <w:left w:val="none" w:sz="0" w:space="0" w:color="auto"/>
        <w:bottom w:val="none" w:sz="0" w:space="0" w:color="auto"/>
        <w:right w:val="none" w:sz="0" w:space="0" w:color="auto"/>
      </w:divBdr>
    </w:div>
    <w:div w:id="1492258227">
      <w:bodyDiv w:val="1"/>
      <w:marLeft w:val="0"/>
      <w:marRight w:val="0"/>
      <w:marTop w:val="0"/>
      <w:marBottom w:val="0"/>
      <w:divBdr>
        <w:top w:val="none" w:sz="0" w:space="0" w:color="auto"/>
        <w:left w:val="none" w:sz="0" w:space="0" w:color="auto"/>
        <w:bottom w:val="none" w:sz="0" w:space="0" w:color="auto"/>
        <w:right w:val="none" w:sz="0" w:space="0" w:color="auto"/>
      </w:divBdr>
    </w:div>
    <w:div w:id="1523396751">
      <w:bodyDiv w:val="1"/>
      <w:marLeft w:val="0"/>
      <w:marRight w:val="0"/>
      <w:marTop w:val="0"/>
      <w:marBottom w:val="0"/>
      <w:divBdr>
        <w:top w:val="none" w:sz="0" w:space="0" w:color="auto"/>
        <w:left w:val="none" w:sz="0" w:space="0" w:color="auto"/>
        <w:bottom w:val="none" w:sz="0" w:space="0" w:color="auto"/>
        <w:right w:val="none" w:sz="0" w:space="0" w:color="auto"/>
      </w:divBdr>
    </w:div>
    <w:div w:id="1531718126">
      <w:bodyDiv w:val="1"/>
      <w:marLeft w:val="0"/>
      <w:marRight w:val="0"/>
      <w:marTop w:val="0"/>
      <w:marBottom w:val="0"/>
      <w:divBdr>
        <w:top w:val="none" w:sz="0" w:space="0" w:color="auto"/>
        <w:left w:val="none" w:sz="0" w:space="0" w:color="auto"/>
        <w:bottom w:val="none" w:sz="0" w:space="0" w:color="auto"/>
        <w:right w:val="none" w:sz="0" w:space="0" w:color="auto"/>
      </w:divBdr>
    </w:div>
    <w:div w:id="1549994300">
      <w:bodyDiv w:val="1"/>
      <w:marLeft w:val="0"/>
      <w:marRight w:val="0"/>
      <w:marTop w:val="0"/>
      <w:marBottom w:val="0"/>
      <w:divBdr>
        <w:top w:val="none" w:sz="0" w:space="0" w:color="auto"/>
        <w:left w:val="none" w:sz="0" w:space="0" w:color="auto"/>
        <w:bottom w:val="none" w:sz="0" w:space="0" w:color="auto"/>
        <w:right w:val="none" w:sz="0" w:space="0" w:color="auto"/>
      </w:divBdr>
    </w:div>
    <w:div w:id="1559391435">
      <w:bodyDiv w:val="1"/>
      <w:marLeft w:val="0"/>
      <w:marRight w:val="0"/>
      <w:marTop w:val="0"/>
      <w:marBottom w:val="0"/>
      <w:divBdr>
        <w:top w:val="none" w:sz="0" w:space="0" w:color="auto"/>
        <w:left w:val="none" w:sz="0" w:space="0" w:color="auto"/>
        <w:bottom w:val="none" w:sz="0" w:space="0" w:color="auto"/>
        <w:right w:val="none" w:sz="0" w:space="0" w:color="auto"/>
      </w:divBdr>
    </w:div>
    <w:div w:id="1574269330">
      <w:bodyDiv w:val="1"/>
      <w:marLeft w:val="0"/>
      <w:marRight w:val="0"/>
      <w:marTop w:val="0"/>
      <w:marBottom w:val="0"/>
      <w:divBdr>
        <w:top w:val="none" w:sz="0" w:space="0" w:color="auto"/>
        <w:left w:val="none" w:sz="0" w:space="0" w:color="auto"/>
        <w:bottom w:val="none" w:sz="0" w:space="0" w:color="auto"/>
        <w:right w:val="none" w:sz="0" w:space="0" w:color="auto"/>
      </w:divBdr>
    </w:div>
    <w:div w:id="1577664277">
      <w:bodyDiv w:val="1"/>
      <w:marLeft w:val="0"/>
      <w:marRight w:val="0"/>
      <w:marTop w:val="0"/>
      <w:marBottom w:val="0"/>
      <w:divBdr>
        <w:top w:val="none" w:sz="0" w:space="0" w:color="auto"/>
        <w:left w:val="none" w:sz="0" w:space="0" w:color="auto"/>
        <w:bottom w:val="none" w:sz="0" w:space="0" w:color="auto"/>
        <w:right w:val="none" w:sz="0" w:space="0" w:color="auto"/>
      </w:divBdr>
    </w:div>
    <w:div w:id="1584340569">
      <w:bodyDiv w:val="1"/>
      <w:marLeft w:val="0"/>
      <w:marRight w:val="0"/>
      <w:marTop w:val="0"/>
      <w:marBottom w:val="0"/>
      <w:divBdr>
        <w:top w:val="none" w:sz="0" w:space="0" w:color="auto"/>
        <w:left w:val="none" w:sz="0" w:space="0" w:color="auto"/>
        <w:bottom w:val="none" w:sz="0" w:space="0" w:color="auto"/>
        <w:right w:val="none" w:sz="0" w:space="0" w:color="auto"/>
      </w:divBdr>
    </w:div>
    <w:div w:id="1591818305">
      <w:bodyDiv w:val="1"/>
      <w:marLeft w:val="0"/>
      <w:marRight w:val="0"/>
      <w:marTop w:val="0"/>
      <w:marBottom w:val="0"/>
      <w:divBdr>
        <w:top w:val="none" w:sz="0" w:space="0" w:color="auto"/>
        <w:left w:val="none" w:sz="0" w:space="0" w:color="auto"/>
        <w:bottom w:val="none" w:sz="0" w:space="0" w:color="auto"/>
        <w:right w:val="none" w:sz="0" w:space="0" w:color="auto"/>
      </w:divBdr>
    </w:div>
    <w:div w:id="1592659008">
      <w:bodyDiv w:val="1"/>
      <w:marLeft w:val="0"/>
      <w:marRight w:val="0"/>
      <w:marTop w:val="0"/>
      <w:marBottom w:val="0"/>
      <w:divBdr>
        <w:top w:val="none" w:sz="0" w:space="0" w:color="auto"/>
        <w:left w:val="none" w:sz="0" w:space="0" w:color="auto"/>
        <w:bottom w:val="none" w:sz="0" w:space="0" w:color="auto"/>
        <w:right w:val="none" w:sz="0" w:space="0" w:color="auto"/>
      </w:divBdr>
      <w:divsChild>
        <w:div w:id="31276109">
          <w:marLeft w:val="0"/>
          <w:marRight w:val="0"/>
          <w:marTop w:val="0"/>
          <w:marBottom w:val="0"/>
          <w:divBdr>
            <w:top w:val="none" w:sz="0" w:space="0" w:color="auto"/>
            <w:left w:val="none" w:sz="0" w:space="0" w:color="auto"/>
            <w:bottom w:val="none" w:sz="0" w:space="0" w:color="auto"/>
            <w:right w:val="none" w:sz="0" w:space="0" w:color="auto"/>
          </w:divBdr>
          <w:divsChild>
            <w:div w:id="1183864304">
              <w:marLeft w:val="0"/>
              <w:marRight w:val="0"/>
              <w:marTop w:val="0"/>
              <w:marBottom w:val="0"/>
              <w:divBdr>
                <w:top w:val="none" w:sz="0" w:space="0" w:color="auto"/>
                <w:left w:val="none" w:sz="0" w:space="0" w:color="auto"/>
                <w:bottom w:val="none" w:sz="0" w:space="0" w:color="auto"/>
                <w:right w:val="none" w:sz="0" w:space="0" w:color="auto"/>
              </w:divBdr>
            </w:div>
          </w:divsChild>
        </w:div>
        <w:div w:id="2112315180">
          <w:marLeft w:val="0"/>
          <w:marRight w:val="0"/>
          <w:marTop w:val="0"/>
          <w:marBottom w:val="0"/>
          <w:divBdr>
            <w:top w:val="none" w:sz="0" w:space="0" w:color="auto"/>
            <w:left w:val="none" w:sz="0" w:space="0" w:color="auto"/>
            <w:bottom w:val="none" w:sz="0" w:space="0" w:color="auto"/>
            <w:right w:val="none" w:sz="0" w:space="0" w:color="auto"/>
          </w:divBdr>
        </w:div>
      </w:divsChild>
    </w:div>
    <w:div w:id="1600603952">
      <w:bodyDiv w:val="1"/>
      <w:marLeft w:val="0"/>
      <w:marRight w:val="0"/>
      <w:marTop w:val="0"/>
      <w:marBottom w:val="0"/>
      <w:divBdr>
        <w:top w:val="none" w:sz="0" w:space="0" w:color="auto"/>
        <w:left w:val="none" w:sz="0" w:space="0" w:color="auto"/>
        <w:bottom w:val="none" w:sz="0" w:space="0" w:color="auto"/>
        <w:right w:val="none" w:sz="0" w:space="0" w:color="auto"/>
      </w:divBdr>
    </w:div>
    <w:div w:id="1633439368">
      <w:bodyDiv w:val="1"/>
      <w:marLeft w:val="0"/>
      <w:marRight w:val="0"/>
      <w:marTop w:val="0"/>
      <w:marBottom w:val="0"/>
      <w:divBdr>
        <w:top w:val="none" w:sz="0" w:space="0" w:color="auto"/>
        <w:left w:val="none" w:sz="0" w:space="0" w:color="auto"/>
        <w:bottom w:val="none" w:sz="0" w:space="0" w:color="auto"/>
        <w:right w:val="none" w:sz="0" w:space="0" w:color="auto"/>
      </w:divBdr>
    </w:div>
    <w:div w:id="1642734284">
      <w:bodyDiv w:val="1"/>
      <w:marLeft w:val="0"/>
      <w:marRight w:val="0"/>
      <w:marTop w:val="0"/>
      <w:marBottom w:val="0"/>
      <w:divBdr>
        <w:top w:val="none" w:sz="0" w:space="0" w:color="auto"/>
        <w:left w:val="none" w:sz="0" w:space="0" w:color="auto"/>
        <w:bottom w:val="none" w:sz="0" w:space="0" w:color="auto"/>
        <w:right w:val="none" w:sz="0" w:space="0" w:color="auto"/>
      </w:divBdr>
    </w:div>
    <w:div w:id="1649284315">
      <w:bodyDiv w:val="1"/>
      <w:marLeft w:val="0"/>
      <w:marRight w:val="0"/>
      <w:marTop w:val="0"/>
      <w:marBottom w:val="0"/>
      <w:divBdr>
        <w:top w:val="none" w:sz="0" w:space="0" w:color="auto"/>
        <w:left w:val="none" w:sz="0" w:space="0" w:color="auto"/>
        <w:bottom w:val="none" w:sz="0" w:space="0" w:color="auto"/>
        <w:right w:val="none" w:sz="0" w:space="0" w:color="auto"/>
      </w:divBdr>
    </w:div>
    <w:div w:id="1650209390">
      <w:bodyDiv w:val="1"/>
      <w:marLeft w:val="0"/>
      <w:marRight w:val="0"/>
      <w:marTop w:val="0"/>
      <w:marBottom w:val="0"/>
      <w:divBdr>
        <w:top w:val="none" w:sz="0" w:space="0" w:color="auto"/>
        <w:left w:val="none" w:sz="0" w:space="0" w:color="auto"/>
        <w:bottom w:val="none" w:sz="0" w:space="0" w:color="auto"/>
        <w:right w:val="none" w:sz="0" w:space="0" w:color="auto"/>
      </w:divBdr>
    </w:div>
    <w:div w:id="1714959127">
      <w:bodyDiv w:val="1"/>
      <w:marLeft w:val="0"/>
      <w:marRight w:val="0"/>
      <w:marTop w:val="0"/>
      <w:marBottom w:val="0"/>
      <w:divBdr>
        <w:top w:val="none" w:sz="0" w:space="0" w:color="auto"/>
        <w:left w:val="none" w:sz="0" w:space="0" w:color="auto"/>
        <w:bottom w:val="none" w:sz="0" w:space="0" w:color="auto"/>
        <w:right w:val="none" w:sz="0" w:space="0" w:color="auto"/>
      </w:divBdr>
    </w:div>
    <w:div w:id="1724133092">
      <w:bodyDiv w:val="1"/>
      <w:marLeft w:val="0"/>
      <w:marRight w:val="0"/>
      <w:marTop w:val="0"/>
      <w:marBottom w:val="0"/>
      <w:divBdr>
        <w:top w:val="none" w:sz="0" w:space="0" w:color="auto"/>
        <w:left w:val="none" w:sz="0" w:space="0" w:color="auto"/>
        <w:bottom w:val="none" w:sz="0" w:space="0" w:color="auto"/>
        <w:right w:val="none" w:sz="0" w:space="0" w:color="auto"/>
      </w:divBdr>
      <w:divsChild>
        <w:div w:id="1427653266">
          <w:marLeft w:val="0"/>
          <w:marRight w:val="0"/>
          <w:marTop w:val="0"/>
          <w:marBottom w:val="0"/>
          <w:divBdr>
            <w:top w:val="none" w:sz="0" w:space="0" w:color="auto"/>
            <w:left w:val="none" w:sz="0" w:space="0" w:color="auto"/>
            <w:bottom w:val="none" w:sz="0" w:space="0" w:color="auto"/>
            <w:right w:val="none" w:sz="0" w:space="0" w:color="auto"/>
          </w:divBdr>
        </w:div>
      </w:divsChild>
    </w:div>
    <w:div w:id="1726177742">
      <w:bodyDiv w:val="1"/>
      <w:marLeft w:val="0"/>
      <w:marRight w:val="0"/>
      <w:marTop w:val="0"/>
      <w:marBottom w:val="0"/>
      <w:divBdr>
        <w:top w:val="none" w:sz="0" w:space="0" w:color="auto"/>
        <w:left w:val="none" w:sz="0" w:space="0" w:color="auto"/>
        <w:bottom w:val="none" w:sz="0" w:space="0" w:color="auto"/>
        <w:right w:val="none" w:sz="0" w:space="0" w:color="auto"/>
      </w:divBdr>
    </w:div>
    <w:div w:id="1729109495">
      <w:bodyDiv w:val="1"/>
      <w:marLeft w:val="0"/>
      <w:marRight w:val="0"/>
      <w:marTop w:val="0"/>
      <w:marBottom w:val="0"/>
      <w:divBdr>
        <w:top w:val="none" w:sz="0" w:space="0" w:color="auto"/>
        <w:left w:val="none" w:sz="0" w:space="0" w:color="auto"/>
        <w:bottom w:val="none" w:sz="0" w:space="0" w:color="auto"/>
        <w:right w:val="none" w:sz="0" w:space="0" w:color="auto"/>
      </w:divBdr>
    </w:div>
    <w:div w:id="1737240456">
      <w:bodyDiv w:val="1"/>
      <w:marLeft w:val="0"/>
      <w:marRight w:val="0"/>
      <w:marTop w:val="0"/>
      <w:marBottom w:val="0"/>
      <w:divBdr>
        <w:top w:val="none" w:sz="0" w:space="0" w:color="auto"/>
        <w:left w:val="none" w:sz="0" w:space="0" w:color="auto"/>
        <w:bottom w:val="none" w:sz="0" w:space="0" w:color="auto"/>
        <w:right w:val="none" w:sz="0" w:space="0" w:color="auto"/>
      </w:divBdr>
    </w:div>
    <w:div w:id="1756633533">
      <w:bodyDiv w:val="1"/>
      <w:marLeft w:val="0"/>
      <w:marRight w:val="0"/>
      <w:marTop w:val="0"/>
      <w:marBottom w:val="0"/>
      <w:divBdr>
        <w:top w:val="none" w:sz="0" w:space="0" w:color="auto"/>
        <w:left w:val="none" w:sz="0" w:space="0" w:color="auto"/>
        <w:bottom w:val="none" w:sz="0" w:space="0" w:color="auto"/>
        <w:right w:val="none" w:sz="0" w:space="0" w:color="auto"/>
      </w:divBdr>
    </w:div>
    <w:div w:id="1758938499">
      <w:bodyDiv w:val="1"/>
      <w:marLeft w:val="0"/>
      <w:marRight w:val="0"/>
      <w:marTop w:val="0"/>
      <w:marBottom w:val="0"/>
      <w:divBdr>
        <w:top w:val="none" w:sz="0" w:space="0" w:color="auto"/>
        <w:left w:val="none" w:sz="0" w:space="0" w:color="auto"/>
        <w:bottom w:val="none" w:sz="0" w:space="0" w:color="auto"/>
        <w:right w:val="none" w:sz="0" w:space="0" w:color="auto"/>
      </w:divBdr>
    </w:div>
    <w:div w:id="1772578662">
      <w:bodyDiv w:val="1"/>
      <w:marLeft w:val="0"/>
      <w:marRight w:val="0"/>
      <w:marTop w:val="0"/>
      <w:marBottom w:val="0"/>
      <w:divBdr>
        <w:top w:val="none" w:sz="0" w:space="0" w:color="auto"/>
        <w:left w:val="none" w:sz="0" w:space="0" w:color="auto"/>
        <w:bottom w:val="none" w:sz="0" w:space="0" w:color="auto"/>
        <w:right w:val="none" w:sz="0" w:space="0" w:color="auto"/>
      </w:divBdr>
    </w:div>
    <w:div w:id="1778913631">
      <w:bodyDiv w:val="1"/>
      <w:marLeft w:val="0"/>
      <w:marRight w:val="0"/>
      <w:marTop w:val="0"/>
      <w:marBottom w:val="0"/>
      <w:divBdr>
        <w:top w:val="none" w:sz="0" w:space="0" w:color="auto"/>
        <w:left w:val="none" w:sz="0" w:space="0" w:color="auto"/>
        <w:bottom w:val="none" w:sz="0" w:space="0" w:color="auto"/>
        <w:right w:val="none" w:sz="0" w:space="0" w:color="auto"/>
      </w:divBdr>
    </w:div>
    <w:div w:id="1778939260">
      <w:bodyDiv w:val="1"/>
      <w:marLeft w:val="0"/>
      <w:marRight w:val="0"/>
      <w:marTop w:val="0"/>
      <w:marBottom w:val="0"/>
      <w:divBdr>
        <w:top w:val="none" w:sz="0" w:space="0" w:color="auto"/>
        <w:left w:val="none" w:sz="0" w:space="0" w:color="auto"/>
        <w:bottom w:val="none" w:sz="0" w:space="0" w:color="auto"/>
        <w:right w:val="none" w:sz="0" w:space="0" w:color="auto"/>
      </w:divBdr>
    </w:div>
    <w:div w:id="1835030776">
      <w:bodyDiv w:val="1"/>
      <w:marLeft w:val="0"/>
      <w:marRight w:val="0"/>
      <w:marTop w:val="0"/>
      <w:marBottom w:val="0"/>
      <w:divBdr>
        <w:top w:val="none" w:sz="0" w:space="0" w:color="auto"/>
        <w:left w:val="none" w:sz="0" w:space="0" w:color="auto"/>
        <w:bottom w:val="none" w:sz="0" w:space="0" w:color="auto"/>
        <w:right w:val="none" w:sz="0" w:space="0" w:color="auto"/>
      </w:divBdr>
    </w:div>
    <w:div w:id="1844512734">
      <w:bodyDiv w:val="1"/>
      <w:marLeft w:val="0"/>
      <w:marRight w:val="0"/>
      <w:marTop w:val="0"/>
      <w:marBottom w:val="0"/>
      <w:divBdr>
        <w:top w:val="none" w:sz="0" w:space="0" w:color="auto"/>
        <w:left w:val="none" w:sz="0" w:space="0" w:color="auto"/>
        <w:bottom w:val="none" w:sz="0" w:space="0" w:color="auto"/>
        <w:right w:val="none" w:sz="0" w:space="0" w:color="auto"/>
      </w:divBdr>
    </w:div>
    <w:div w:id="1846049618">
      <w:bodyDiv w:val="1"/>
      <w:marLeft w:val="0"/>
      <w:marRight w:val="0"/>
      <w:marTop w:val="0"/>
      <w:marBottom w:val="0"/>
      <w:divBdr>
        <w:top w:val="none" w:sz="0" w:space="0" w:color="auto"/>
        <w:left w:val="none" w:sz="0" w:space="0" w:color="auto"/>
        <w:bottom w:val="none" w:sz="0" w:space="0" w:color="auto"/>
        <w:right w:val="none" w:sz="0" w:space="0" w:color="auto"/>
      </w:divBdr>
    </w:div>
    <w:div w:id="1863281004">
      <w:bodyDiv w:val="1"/>
      <w:marLeft w:val="0"/>
      <w:marRight w:val="0"/>
      <w:marTop w:val="0"/>
      <w:marBottom w:val="0"/>
      <w:divBdr>
        <w:top w:val="none" w:sz="0" w:space="0" w:color="auto"/>
        <w:left w:val="none" w:sz="0" w:space="0" w:color="auto"/>
        <w:bottom w:val="none" w:sz="0" w:space="0" w:color="auto"/>
        <w:right w:val="none" w:sz="0" w:space="0" w:color="auto"/>
      </w:divBdr>
    </w:div>
    <w:div w:id="1879854617">
      <w:bodyDiv w:val="1"/>
      <w:marLeft w:val="0"/>
      <w:marRight w:val="0"/>
      <w:marTop w:val="0"/>
      <w:marBottom w:val="0"/>
      <w:divBdr>
        <w:top w:val="none" w:sz="0" w:space="0" w:color="auto"/>
        <w:left w:val="none" w:sz="0" w:space="0" w:color="auto"/>
        <w:bottom w:val="none" w:sz="0" w:space="0" w:color="auto"/>
        <w:right w:val="none" w:sz="0" w:space="0" w:color="auto"/>
      </w:divBdr>
    </w:div>
    <w:div w:id="1885866655">
      <w:bodyDiv w:val="1"/>
      <w:marLeft w:val="0"/>
      <w:marRight w:val="0"/>
      <w:marTop w:val="0"/>
      <w:marBottom w:val="0"/>
      <w:divBdr>
        <w:top w:val="none" w:sz="0" w:space="0" w:color="auto"/>
        <w:left w:val="none" w:sz="0" w:space="0" w:color="auto"/>
        <w:bottom w:val="none" w:sz="0" w:space="0" w:color="auto"/>
        <w:right w:val="none" w:sz="0" w:space="0" w:color="auto"/>
      </w:divBdr>
    </w:div>
    <w:div w:id="1894610758">
      <w:bodyDiv w:val="1"/>
      <w:marLeft w:val="0"/>
      <w:marRight w:val="0"/>
      <w:marTop w:val="0"/>
      <w:marBottom w:val="0"/>
      <w:divBdr>
        <w:top w:val="none" w:sz="0" w:space="0" w:color="auto"/>
        <w:left w:val="none" w:sz="0" w:space="0" w:color="auto"/>
        <w:bottom w:val="none" w:sz="0" w:space="0" w:color="auto"/>
        <w:right w:val="none" w:sz="0" w:space="0" w:color="auto"/>
      </w:divBdr>
    </w:div>
    <w:div w:id="1902399709">
      <w:bodyDiv w:val="1"/>
      <w:marLeft w:val="0"/>
      <w:marRight w:val="0"/>
      <w:marTop w:val="0"/>
      <w:marBottom w:val="0"/>
      <w:divBdr>
        <w:top w:val="none" w:sz="0" w:space="0" w:color="auto"/>
        <w:left w:val="none" w:sz="0" w:space="0" w:color="auto"/>
        <w:bottom w:val="none" w:sz="0" w:space="0" w:color="auto"/>
        <w:right w:val="none" w:sz="0" w:space="0" w:color="auto"/>
      </w:divBdr>
    </w:div>
    <w:div w:id="1907954422">
      <w:bodyDiv w:val="1"/>
      <w:marLeft w:val="0"/>
      <w:marRight w:val="0"/>
      <w:marTop w:val="0"/>
      <w:marBottom w:val="0"/>
      <w:divBdr>
        <w:top w:val="none" w:sz="0" w:space="0" w:color="auto"/>
        <w:left w:val="none" w:sz="0" w:space="0" w:color="auto"/>
        <w:bottom w:val="none" w:sz="0" w:space="0" w:color="auto"/>
        <w:right w:val="none" w:sz="0" w:space="0" w:color="auto"/>
      </w:divBdr>
    </w:div>
    <w:div w:id="1909077141">
      <w:bodyDiv w:val="1"/>
      <w:marLeft w:val="0"/>
      <w:marRight w:val="0"/>
      <w:marTop w:val="0"/>
      <w:marBottom w:val="0"/>
      <w:divBdr>
        <w:top w:val="none" w:sz="0" w:space="0" w:color="auto"/>
        <w:left w:val="none" w:sz="0" w:space="0" w:color="auto"/>
        <w:bottom w:val="none" w:sz="0" w:space="0" w:color="auto"/>
        <w:right w:val="none" w:sz="0" w:space="0" w:color="auto"/>
      </w:divBdr>
    </w:div>
    <w:div w:id="1924757736">
      <w:bodyDiv w:val="1"/>
      <w:marLeft w:val="0"/>
      <w:marRight w:val="0"/>
      <w:marTop w:val="0"/>
      <w:marBottom w:val="0"/>
      <w:divBdr>
        <w:top w:val="none" w:sz="0" w:space="0" w:color="auto"/>
        <w:left w:val="none" w:sz="0" w:space="0" w:color="auto"/>
        <w:bottom w:val="none" w:sz="0" w:space="0" w:color="auto"/>
        <w:right w:val="none" w:sz="0" w:space="0" w:color="auto"/>
      </w:divBdr>
    </w:div>
    <w:div w:id="1927763091">
      <w:bodyDiv w:val="1"/>
      <w:marLeft w:val="0"/>
      <w:marRight w:val="0"/>
      <w:marTop w:val="0"/>
      <w:marBottom w:val="0"/>
      <w:divBdr>
        <w:top w:val="none" w:sz="0" w:space="0" w:color="auto"/>
        <w:left w:val="none" w:sz="0" w:space="0" w:color="auto"/>
        <w:bottom w:val="none" w:sz="0" w:space="0" w:color="auto"/>
        <w:right w:val="none" w:sz="0" w:space="0" w:color="auto"/>
      </w:divBdr>
    </w:div>
    <w:div w:id="1929076339">
      <w:bodyDiv w:val="1"/>
      <w:marLeft w:val="0"/>
      <w:marRight w:val="0"/>
      <w:marTop w:val="0"/>
      <w:marBottom w:val="0"/>
      <w:divBdr>
        <w:top w:val="none" w:sz="0" w:space="0" w:color="auto"/>
        <w:left w:val="none" w:sz="0" w:space="0" w:color="auto"/>
        <w:bottom w:val="none" w:sz="0" w:space="0" w:color="auto"/>
        <w:right w:val="none" w:sz="0" w:space="0" w:color="auto"/>
      </w:divBdr>
    </w:div>
    <w:div w:id="1972175254">
      <w:bodyDiv w:val="1"/>
      <w:marLeft w:val="0"/>
      <w:marRight w:val="0"/>
      <w:marTop w:val="0"/>
      <w:marBottom w:val="0"/>
      <w:divBdr>
        <w:top w:val="none" w:sz="0" w:space="0" w:color="auto"/>
        <w:left w:val="none" w:sz="0" w:space="0" w:color="auto"/>
        <w:bottom w:val="none" w:sz="0" w:space="0" w:color="auto"/>
        <w:right w:val="none" w:sz="0" w:space="0" w:color="auto"/>
      </w:divBdr>
    </w:div>
    <w:div w:id="2000889954">
      <w:bodyDiv w:val="1"/>
      <w:marLeft w:val="0"/>
      <w:marRight w:val="0"/>
      <w:marTop w:val="0"/>
      <w:marBottom w:val="0"/>
      <w:divBdr>
        <w:top w:val="none" w:sz="0" w:space="0" w:color="auto"/>
        <w:left w:val="none" w:sz="0" w:space="0" w:color="auto"/>
        <w:bottom w:val="none" w:sz="0" w:space="0" w:color="auto"/>
        <w:right w:val="none" w:sz="0" w:space="0" w:color="auto"/>
      </w:divBdr>
    </w:div>
    <w:div w:id="2034526076">
      <w:bodyDiv w:val="1"/>
      <w:marLeft w:val="0"/>
      <w:marRight w:val="0"/>
      <w:marTop w:val="0"/>
      <w:marBottom w:val="0"/>
      <w:divBdr>
        <w:top w:val="none" w:sz="0" w:space="0" w:color="auto"/>
        <w:left w:val="none" w:sz="0" w:space="0" w:color="auto"/>
        <w:bottom w:val="none" w:sz="0" w:space="0" w:color="auto"/>
        <w:right w:val="none" w:sz="0" w:space="0" w:color="auto"/>
      </w:divBdr>
    </w:div>
    <w:div w:id="2043508731">
      <w:bodyDiv w:val="1"/>
      <w:marLeft w:val="0"/>
      <w:marRight w:val="0"/>
      <w:marTop w:val="0"/>
      <w:marBottom w:val="0"/>
      <w:divBdr>
        <w:top w:val="none" w:sz="0" w:space="0" w:color="auto"/>
        <w:left w:val="none" w:sz="0" w:space="0" w:color="auto"/>
        <w:bottom w:val="none" w:sz="0" w:space="0" w:color="auto"/>
        <w:right w:val="none" w:sz="0" w:space="0" w:color="auto"/>
      </w:divBdr>
    </w:div>
    <w:div w:id="2051760582">
      <w:bodyDiv w:val="1"/>
      <w:marLeft w:val="0"/>
      <w:marRight w:val="0"/>
      <w:marTop w:val="0"/>
      <w:marBottom w:val="0"/>
      <w:divBdr>
        <w:top w:val="none" w:sz="0" w:space="0" w:color="auto"/>
        <w:left w:val="none" w:sz="0" w:space="0" w:color="auto"/>
        <w:bottom w:val="none" w:sz="0" w:space="0" w:color="auto"/>
        <w:right w:val="none" w:sz="0" w:space="0" w:color="auto"/>
      </w:divBdr>
      <w:divsChild>
        <w:div w:id="684601881">
          <w:marLeft w:val="0"/>
          <w:marRight w:val="0"/>
          <w:marTop w:val="0"/>
          <w:marBottom w:val="0"/>
          <w:divBdr>
            <w:top w:val="none" w:sz="0" w:space="0" w:color="auto"/>
            <w:left w:val="none" w:sz="0" w:space="0" w:color="auto"/>
            <w:bottom w:val="none" w:sz="0" w:space="0" w:color="auto"/>
            <w:right w:val="none" w:sz="0" w:space="0" w:color="auto"/>
          </w:divBdr>
          <w:divsChild>
            <w:div w:id="2137992113">
              <w:marLeft w:val="0"/>
              <w:marRight w:val="0"/>
              <w:marTop w:val="0"/>
              <w:marBottom w:val="0"/>
              <w:divBdr>
                <w:top w:val="none" w:sz="0" w:space="0" w:color="auto"/>
                <w:left w:val="none" w:sz="0" w:space="0" w:color="auto"/>
                <w:bottom w:val="none" w:sz="0" w:space="0" w:color="auto"/>
                <w:right w:val="none" w:sz="0" w:space="0" w:color="auto"/>
              </w:divBdr>
            </w:div>
          </w:divsChild>
        </w:div>
        <w:div w:id="2083941767">
          <w:marLeft w:val="0"/>
          <w:marRight w:val="0"/>
          <w:marTop w:val="0"/>
          <w:marBottom w:val="0"/>
          <w:divBdr>
            <w:top w:val="none" w:sz="0" w:space="0" w:color="auto"/>
            <w:left w:val="none" w:sz="0" w:space="0" w:color="auto"/>
            <w:bottom w:val="none" w:sz="0" w:space="0" w:color="auto"/>
            <w:right w:val="none" w:sz="0" w:space="0" w:color="auto"/>
          </w:divBdr>
        </w:div>
      </w:divsChild>
    </w:div>
    <w:div w:id="2064408176">
      <w:bodyDiv w:val="1"/>
      <w:marLeft w:val="0"/>
      <w:marRight w:val="0"/>
      <w:marTop w:val="0"/>
      <w:marBottom w:val="0"/>
      <w:divBdr>
        <w:top w:val="none" w:sz="0" w:space="0" w:color="auto"/>
        <w:left w:val="none" w:sz="0" w:space="0" w:color="auto"/>
        <w:bottom w:val="none" w:sz="0" w:space="0" w:color="auto"/>
        <w:right w:val="none" w:sz="0" w:space="0" w:color="auto"/>
      </w:divBdr>
    </w:div>
    <w:div w:id="2079084204">
      <w:bodyDiv w:val="1"/>
      <w:marLeft w:val="0"/>
      <w:marRight w:val="0"/>
      <w:marTop w:val="0"/>
      <w:marBottom w:val="0"/>
      <w:divBdr>
        <w:top w:val="none" w:sz="0" w:space="0" w:color="auto"/>
        <w:left w:val="none" w:sz="0" w:space="0" w:color="auto"/>
        <w:bottom w:val="none" w:sz="0" w:space="0" w:color="auto"/>
        <w:right w:val="none" w:sz="0" w:space="0" w:color="auto"/>
      </w:divBdr>
    </w:div>
    <w:div w:id="2090424001">
      <w:bodyDiv w:val="1"/>
      <w:marLeft w:val="0"/>
      <w:marRight w:val="0"/>
      <w:marTop w:val="0"/>
      <w:marBottom w:val="0"/>
      <w:divBdr>
        <w:top w:val="none" w:sz="0" w:space="0" w:color="auto"/>
        <w:left w:val="none" w:sz="0" w:space="0" w:color="auto"/>
        <w:bottom w:val="none" w:sz="0" w:space="0" w:color="auto"/>
        <w:right w:val="none" w:sz="0" w:space="0" w:color="auto"/>
      </w:divBdr>
    </w:div>
    <w:div w:id="2098749100">
      <w:bodyDiv w:val="1"/>
      <w:marLeft w:val="0"/>
      <w:marRight w:val="0"/>
      <w:marTop w:val="0"/>
      <w:marBottom w:val="0"/>
      <w:divBdr>
        <w:top w:val="none" w:sz="0" w:space="0" w:color="auto"/>
        <w:left w:val="none" w:sz="0" w:space="0" w:color="auto"/>
        <w:bottom w:val="none" w:sz="0" w:space="0" w:color="auto"/>
        <w:right w:val="none" w:sz="0" w:space="0" w:color="auto"/>
      </w:divBdr>
    </w:div>
    <w:div w:id="2099016945">
      <w:bodyDiv w:val="1"/>
      <w:marLeft w:val="0"/>
      <w:marRight w:val="0"/>
      <w:marTop w:val="0"/>
      <w:marBottom w:val="0"/>
      <w:divBdr>
        <w:top w:val="none" w:sz="0" w:space="0" w:color="auto"/>
        <w:left w:val="none" w:sz="0" w:space="0" w:color="auto"/>
        <w:bottom w:val="none" w:sz="0" w:space="0" w:color="auto"/>
        <w:right w:val="none" w:sz="0" w:space="0" w:color="auto"/>
      </w:divBdr>
    </w:div>
    <w:div w:id="2115397426">
      <w:bodyDiv w:val="1"/>
      <w:marLeft w:val="0"/>
      <w:marRight w:val="0"/>
      <w:marTop w:val="0"/>
      <w:marBottom w:val="0"/>
      <w:divBdr>
        <w:top w:val="none" w:sz="0" w:space="0" w:color="auto"/>
        <w:left w:val="none" w:sz="0" w:space="0" w:color="auto"/>
        <w:bottom w:val="none" w:sz="0" w:space="0" w:color="auto"/>
        <w:right w:val="none" w:sz="0" w:space="0" w:color="auto"/>
      </w:divBdr>
    </w:div>
    <w:div w:id="21208770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chart" Target="charts/chart1.xml"/><Relationship Id="rId10"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Admin/Desktop/workspace/DA8410%20Fiscal%20and%20Monetary%20Policy%20Analysis/DA8410%20Part%202/Assignment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Effective</a:t>
            </a:r>
            <a:r>
              <a:rPr lang="en-US" baseline="0"/>
              <a:t> Tax Rate (ETR)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Sheet1!$B$39</c:f>
              <c:strCache>
                <c:ptCount val="1"/>
                <c:pt idx="0">
                  <c:v>Personal Income Tax</c:v>
                </c:pt>
              </c:strCache>
            </c:strRef>
          </c:tx>
          <c:spPr>
            <a:ln w="28575" cap="rnd">
              <a:solidFill>
                <a:schemeClr val="accent1"/>
              </a:solidFill>
              <a:round/>
            </a:ln>
            <a:effectLst/>
          </c:spPr>
          <c:marker>
            <c:symbol val="none"/>
          </c:marker>
          <c:val>
            <c:numRef>
              <c:f>Sheet1!$C$39:$G$39</c:f>
              <c:numCache>
                <c:formatCode>_(* #,##0.00_);_(* \(#,##0.00\);_(* "-"??_);_(@_)</c:formatCode>
                <c:ptCount val="5"/>
                <c:pt idx="0">
                  <c:v>1.808545183469406</c:v>
                </c:pt>
                <c:pt idx="1">
                  <c:v>1.348916631780195</c:v>
                </c:pt>
                <c:pt idx="2">
                  <c:v>7.920139960893279</c:v>
                </c:pt>
                <c:pt idx="3">
                  <c:v>7.399105839873432</c:v>
                </c:pt>
                <c:pt idx="4">
                  <c:v>11.25733650159847</c:v>
                </c:pt>
              </c:numCache>
            </c:numRef>
          </c:val>
          <c:smooth val="0"/>
        </c:ser>
        <c:ser>
          <c:idx val="1"/>
          <c:order val="1"/>
          <c:tx>
            <c:strRef>
              <c:f>Sheet1!$B$40</c:f>
              <c:strCache>
                <c:ptCount val="1"/>
                <c:pt idx="0">
                  <c:v>Corporate Income Tax</c:v>
                </c:pt>
              </c:strCache>
            </c:strRef>
          </c:tx>
          <c:spPr>
            <a:ln w="28575" cap="rnd">
              <a:solidFill>
                <a:schemeClr val="accent2"/>
              </a:solidFill>
              <a:round/>
            </a:ln>
            <a:effectLst/>
          </c:spPr>
          <c:marker>
            <c:symbol val="none"/>
          </c:marker>
          <c:val>
            <c:numRef>
              <c:f>Sheet1!$C$40:$G$40</c:f>
              <c:numCache>
                <c:formatCode>_(* #,##0.00_);_(* \(#,##0.00\);_(* "-"??_);_(@_)</c:formatCode>
                <c:ptCount val="5"/>
                <c:pt idx="0">
                  <c:v>18.43569321667376</c:v>
                </c:pt>
                <c:pt idx="1">
                  <c:v>16.0209382876843</c:v>
                </c:pt>
                <c:pt idx="2">
                  <c:v>17.04641476329134</c:v>
                </c:pt>
                <c:pt idx="3">
                  <c:v>13.65940933133268</c:v>
                </c:pt>
                <c:pt idx="4">
                  <c:v>13.42966431617783</c:v>
                </c:pt>
              </c:numCache>
            </c:numRef>
          </c:val>
          <c:smooth val="0"/>
        </c:ser>
        <c:ser>
          <c:idx val="2"/>
          <c:order val="2"/>
          <c:tx>
            <c:strRef>
              <c:f>Sheet1!$B$41</c:f>
              <c:strCache>
                <c:ptCount val="1"/>
                <c:pt idx="0">
                  <c:v>VAT</c:v>
                </c:pt>
              </c:strCache>
            </c:strRef>
          </c:tx>
          <c:spPr>
            <a:ln w="28575" cap="rnd">
              <a:solidFill>
                <a:schemeClr val="accent3"/>
              </a:solidFill>
              <a:round/>
            </a:ln>
            <a:effectLst/>
          </c:spPr>
          <c:marker>
            <c:symbol val="none"/>
          </c:marker>
          <c:val>
            <c:numRef>
              <c:f>Sheet1!$C$41:$G$41</c:f>
              <c:numCache>
                <c:formatCode>_(* #,##0.00_);_(* \(#,##0.00\);_(* "-"??_);_(@_)</c:formatCode>
                <c:ptCount val="5"/>
                <c:pt idx="0">
                  <c:v>24.052668723591</c:v>
                </c:pt>
                <c:pt idx="1">
                  <c:v>20.90218776944323</c:v>
                </c:pt>
                <c:pt idx="2">
                  <c:v>22.2401057778262</c:v>
                </c:pt>
                <c:pt idx="3">
                  <c:v>17.821149644068</c:v>
                </c:pt>
                <c:pt idx="4">
                  <c:v>17.52140606103756</c:v>
                </c:pt>
              </c:numCache>
            </c:numRef>
          </c:val>
          <c:smooth val="0"/>
        </c:ser>
        <c:ser>
          <c:idx val="3"/>
          <c:order val="3"/>
          <c:tx>
            <c:strRef>
              <c:f>Sheet1!$B$44</c:f>
              <c:strCache>
                <c:ptCount val="1"/>
                <c:pt idx="0">
                  <c:v>Total</c:v>
                </c:pt>
              </c:strCache>
            </c:strRef>
          </c:tx>
          <c:spPr>
            <a:ln w="28575" cap="rnd">
              <a:solidFill>
                <a:schemeClr val="accent4"/>
              </a:solidFill>
              <a:round/>
            </a:ln>
            <a:effectLst/>
          </c:spPr>
          <c:marker>
            <c:symbol val="none"/>
          </c:marker>
          <c:val>
            <c:numRef>
              <c:f>Sheet1!$C$44:$G$44</c:f>
              <c:numCache>
                <c:formatCode>_(* #,##0.00_);_(* \(#,##0.00\);_(* "-"??_);_(@_)</c:formatCode>
                <c:ptCount val="5"/>
                <c:pt idx="0">
                  <c:v>44.29690712373415</c:v>
                </c:pt>
                <c:pt idx="1">
                  <c:v>38.27204268890773</c:v>
                </c:pt>
                <c:pt idx="2">
                  <c:v>47.20666050201082</c:v>
                </c:pt>
                <c:pt idx="3">
                  <c:v>38.87966481527408</c:v>
                </c:pt>
                <c:pt idx="4">
                  <c:v>42.20840687881386</c:v>
                </c:pt>
              </c:numCache>
            </c:numRef>
          </c:val>
          <c:smooth val="0"/>
        </c:ser>
        <c:dLbls>
          <c:showLegendKey val="0"/>
          <c:showVal val="0"/>
          <c:showCatName val="0"/>
          <c:showSerName val="0"/>
          <c:showPercent val="0"/>
          <c:showBubbleSize val="0"/>
        </c:dLbls>
        <c:smooth val="0"/>
        <c:axId val="599486864"/>
        <c:axId val="441191584"/>
      </c:lineChart>
      <c:catAx>
        <c:axId val="59948686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1191584"/>
        <c:crosses val="autoZero"/>
        <c:auto val="1"/>
        <c:lblAlgn val="ctr"/>
        <c:lblOffset val="100"/>
        <c:noMultiLvlLbl val="0"/>
      </c:catAx>
      <c:valAx>
        <c:axId val="441191584"/>
        <c:scaling>
          <c:orientation val="minMax"/>
        </c:scaling>
        <c:delete val="0"/>
        <c:axPos val="l"/>
        <c:majorGridlines>
          <c:spPr>
            <a:ln w="9525" cap="flat" cmpd="sng" algn="ctr">
              <a:solidFill>
                <a:schemeClr val="tx1">
                  <a:lumMod val="15000"/>
                  <a:lumOff val="85000"/>
                </a:schemeClr>
              </a:solidFill>
              <a:round/>
            </a:ln>
            <a:effectLst/>
          </c:spPr>
        </c:majorGridlines>
        <c:numFmt formatCode="_(* #,##0.00_);_(* \(#,##0.0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94868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F3E7CF6-9D3F-0C4F-B9D5-2A2338ECD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1884</Words>
  <Characters>10741</Characters>
  <Application>Microsoft Macintosh Word</Application>
  <DocSecurity>0</DocSecurity>
  <Lines>89</Lines>
  <Paragraphs>25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Kan Yuenyong (6220131004)</vt:lpstr>
    </vt:vector>
  </TitlesOfParts>
  <LinksUpToDate>false</LinksUpToDate>
  <CharactersWithSpaces>12600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 Yuenyong</dc:creator>
  <cp:keywords/>
  <dc:description/>
  <cp:lastModifiedBy>Kan Yuenyong</cp:lastModifiedBy>
  <cp:revision>3</cp:revision>
  <cp:lastPrinted>2021-04-28T05:37:00Z</cp:lastPrinted>
  <dcterms:created xsi:type="dcterms:W3CDTF">2021-05-12T08:14:00Z</dcterms:created>
  <dcterms:modified xsi:type="dcterms:W3CDTF">2021-05-12T08:15:00Z</dcterms:modified>
</cp:coreProperties>
</file>