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X940be486429f1c98176fb3e4f813e01e6e26108"/>
    <w:p>
      <w:pPr>
        <w:pStyle w:val="Heading1"/>
      </w:pPr>
      <w:r>
        <w:t xml:space="preserve">Can a Small Language Model Know When to Trust Itself? Self-Routing in Free, Local LLM Orchestration for Single-Cell Annotation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In a companion study (</w:t>
      </w:r>
      <w:r>
        <w:t xml:space="preserve">“</w:t>
      </w:r>
      <w:r>
        <w:t xml:space="preserve">When Does Orchestration Help?</w:t>
      </w:r>
      <w:r>
        <w:t xml:space="preserve">”</w:t>
      </w:r>
      <w:r>
        <w:t xml:space="preserve">), we found that</w:t>
      </w:r>
      <w:r>
        <w:t xml:space="preserve"> </w:t>
      </w:r>
      <w:r>
        <w:t xml:space="preserve">orchestrating a classical marker-scoring specialist with a small,</w:t>
      </w:r>
      <w:r>
        <w:t xml:space="preserve"> </w:t>
      </w:r>
      <w:r>
        <w:t xml:space="preserve">free, locally-run LLM narrows — but does not close — the gap to a</w:t>
      </w:r>
      <w:r>
        <w:t xml:space="preserve"> </w:t>
      </w:r>
      <w:r>
        <w:t xml:space="preserve">purely classical baseline on single-cell RNA-seq cell-type annotation,</w:t>
      </w:r>
      <w:r>
        <w:t xml:space="preserve"> </w:t>
      </w:r>
      <w:r>
        <w:t xml:space="preserve">and that the</w:t>
      </w:r>
      <w:r>
        <w:t xml:space="preserve"> </w:t>
      </w:r>
      <w:r>
        <w:rPr>
          <w:iCs/>
          <w:i/>
        </w:rPr>
        <w:t xml:space="preserve">reconciliation mechanism</w:t>
      </w:r>
      <w:r>
        <w:t xml:space="preserve"> </w:t>
      </w:r>
      <w:r>
        <w:t xml:space="preserve">between specialists matters</w:t>
      </w:r>
      <w:r>
        <w:t xml:space="preserve"> </w:t>
      </w:r>
      <w:r>
        <w:t xml:space="preserve">more than model size or agent count. In that study, the researcher</w:t>
      </w:r>
      <w:r>
        <w:t xml:space="preserve"> </w:t>
      </w:r>
      <w:r>
        <w:t xml:space="preserve">decided the reconciliation rule; the model itself never chose its own</w:t>
      </w:r>
      <w:r>
        <w:t xml:space="preserve"> </w:t>
      </w:r>
      <w:r>
        <w:t xml:space="preserve">role. Here we ask the natural next question: can a small, free LLM</w:t>
      </w:r>
      <w:r>
        <w:t xml:space="preserve"> </w:t>
      </w:r>
      <w:r>
        <w:t xml:space="preserve">decide</w:t>
      </w:r>
      <w:r>
        <w:t xml:space="preserve"> </w:t>
      </w:r>
      <w:r>
        <w:rPr>
          <w:iCs/>
          <w:i/>
        </w:rPr>
        <w:t xml:space="preserve">for itself</w:t>
      </w:r>
      <w:r>
        <w:t xml:space="preserve"> </w:t>
      </w:r>
      <w:r>
        <w:t xml:space="preserve">whether to trust its own annotation or defer to a</w:t>
      </w:r>
      <w:r>
        <w:t xml:space="preserve"> </w:t>
      </w:r>
      <w:r>
        <w:t xml:space="preserve">deterministic specialist? We test this directly with a self-routing</w:t>
      </w:r>
      <w:r>
        <w:t xml:space="preserve"> </w:t>
      </w:r>
      <w:r>
        <w:t xml:space="preserve">task across three small open-weight models (3B, 1.5B, and 1B</w:t>
      </w:r>
      <w:r>
        <w:t xml:space="preserve"> </w:t>
      </w:r>
      <w:r>
        <w:t xml:space="preserve">parameters), in two variants — blind (no reference answer shown) and</w:t>
      </w:r>
      <w:r>
        <w:t xml:space="preserve"> </w:t>
      </w:r>
      <w:r>
        <w:t xml:space="preserve">informed (a second opinion shown, not marked correct) — evaluated</w:t>
      </w:r>
      <w:r>
        <w:t xml:space="preserve"> </w:t>
      </w:r>
      <w:r>
        <w:t xml:space="preserve">against genuine FACS-sorted ground truth, entirely on free, local</w:t>
      </w:r>
      <w:r>
        <w:t xml:space="preserve"> </w:t>
      </w:r>
      <w:r>
        <w:t xml:space="preserve">infrastructure. We find a universal pattern in the blind setting: every</w:t>
      </w:r>
      <w:r>
        <w:t xml:space="preserve"> </w:t>
      </w:r>
      <w:r>
        <w:t xml:space="preserve">model shows a small amount of genuine self-awareness (routing to</w:t>
      </w:r>
      <w:r>
        <w:t xml:space="preserve"> </w:t>
      </w:r>
      <w:r>
        <w:t xml:space="preserve">“</w:t>
      </w:r>
      <w:r>
        <w:t xml:space="preserve">self</w:t>
      </w:r>
      <w:r>
        <w:t xml:space="preserve">”</w:t>
      </w:r>
      <w:r>
        <w:t xml:space="preserve"> </w:t>
      </w:r>
      <w:r>
        <w:t xml:space="preserve">somewhat more often when actually correct), yet every model</w:t>
      </w:r>
      <w:r>
        <w:t xml:space="preserve"> </w:t>
      </w:r>
      <w:r>
        <w:t xml:space="preserve">still substantially underperforms simply always deferring to the</w:t>
      </w:r>
      <w:r>
        <w:t xml:space="preserve"> </w:t>
      </w:r>
      <w:r>
        <w:t xml:space="preserve">classical specialist, because self-routing happens far more often than</w:t>
      </w:r>
      <w:r>
        <w:t xml:space="preserve"> </w:t>
      </w:r>
      <w:r>
        <w:t xml:space="preserve">warranted by actual reliability. In the informed setting we find a</w:t>
      </w:r>
      <w:r>
        <w:t xml:space="preserve"> </w:t>
      </w:r>
      <w:r>
        <w:t xml:space="preserve">sharper, model-dependent, and counterintuitive result: the</w:t>
      </w:r>
      <w:r>
        <w:t xml:space="preserve"> </w:t>
      </w:r>
      <w:r>
        <w:rPr>
          <w:iCs/>
          <w:i/>
        </w:rPr>
        <w:t xml:space="preserve">largest</w:t>
      </w:r>
      <w:r>
        <w:t xml:space="preserve"> </w:t>
      </w:r>
      <w:r>
        <w:t xml:space="preserve">model tested (3B) shows complete routing collapse — its routing</w:t>
      </w:r>
      <w:r>
        <w:t xml:space="preserve"> </w:t>
      </w:r>
      <w:r>
        <w:t xml:space="preserve">decision never once changed the final outcome across 40 cluster-trials</w:t>
      </w:r>
      <w:r>
        <w:t xml:space="preserve"> </w:t>
      </w:r>
      <w:r>
        <w:t xml:space="preserve">— while the two smaller models retain real, if modest, independent</w:t>
      </w:r>
      <w:r>
        <w:t xml:space="preserve"> </w:t>
      </w:r>
      <w:r>
        <w:t xml:space="preserve">judgment. A hand-coding pass traces the 3B collapse to a specific,</w:t>
      </w:r>
      <w:r>
        <w:t xml:space="preserve"> </w:t>
      </w:r>
      <w:r>
        <w:t xml:space="preserve">nameable failure we term</w:t>
      </w:r>
      <w:r>
        <w:t xml:space="preserve"> </w:t>
      </w:r>
      <w:r>
        <w:rPr>
          <w:iCs/>
          <w:i/>
        </w:rPr>
        <w:t xml:space="preserve">confabulated independence</w:t>
      </w:r>
      <w:r>
        <w:t xml:space="preserve">: the model’s</w:t>
      </w:r>
      <w:r>
        <w:t xml:space="preserve"> </w:t>
      </w:r>
      <w:r>
        <w:t xml:space="preserve">stated reasoning explicitly claims to override the shown reference</w:t>
      </w:r>
      <w:r>
        <w:t xml:space="preserve"> </w:t>
      </w:r>
      <w:r>
        <w:t xml:space="preserve">answer, while its output reproduces that answer exactly, in every</w:t>
      </w:r>
      <w:r>
        <w:t xml:space="preserve"> </w:t>
      </w:r>
      <w:r>
        <w:t xml:space="preserve">traced instance. We also report a methodological finding of</w:t>
      </w:r>
      <w:r>
        <w:t xml:space="preserve"> </w:t>
      </w:r>
      <w:r>
        <w:t xml:space="preserve">independent interest: an initial result suggesting the smallest model</w:t>
      </w:r>
      <w:r>
        <w:t xml:space="preserve"> </w:t>
      </w:r>
      <w:r>
        <w:t xml:space="preserve">(1B) was a</w:t>
      </w:r>
      <w:r>
        <w:t xml:space="preserve"> </w:t>
      </w:r>
      <w:r>
        <w:t xml:space="preserve">“</w:t>
      </w:r>
      <w:r>
        <w:t xml:space="preserve">degenerate router</w:t>
      </w:r>
      <w:r>
        <w:t xml:space="preserve">”</w:t>
      </w:r>
      <w:r>
        <w:t xml:space="preserve"> </w:t>
      </w:r>
      <w:r>
        <w:t xml:space="preserve">was itself an artifact of that model</w:t>
      </w:r>
      <w:r>
        <w:t xml:space="preserve"> </w:t>
      </w:r>
      <w:r>
        <w:t xml:space="preserve">producing content-correct but structurally invalid JSON, corrected</w:t>
      </w:r>
      <w:r>
        <w:t xml:space="preserve"> </w:t>
      </w:r>
      <w:r>
        <w:t xml:space="preserve">with a more robust parser and verified against the exact malformed</w:t>
      </w:r>
      <w:r>
        <w:t xml:space="preserve"> </w:t>
      </w:r>
      <w:r>
        <w:t xml:space="preserve">outputs that caused it.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Agentic AI systems for bioinformatics are typically evaluated with a</w:t>
      </w:r>
      <w:r>
        <w:t xml:space="preserve"> </w:t>
      </w:r>
      <w:r>
        <w:t xml:space="preserve">fixed, researcher-designed architecture: a fixed set of specialists,</w:t>
      </w:r>
      <w:r>
        <w:t xml:space="preserve"> </w:t>
      </w:r>
      <w:r>
        <w:t xml:space="preserve">a fixed reconciliation rule, a fixed loop budget. Our companion study</w:t>
      </w:r>
      <w:r>
        <w:t xml:space="preserve"> </w:t>
      </w:r>
      <w:r>
        <w:t xml:space="preserve">found that for a small, free, locally-run LLM annotating single-cell</w:t>
      </w:r>
      <w:r>
        <w:t xml:space="preserve"> </w:t>
      </w:r>
      <w:r>
        <w:t xml:space="preserve">RNA-seq clusters, this kind of orchestration recovers most of the</w:t>
      </w:r>
      <w:r>
        <w:t xml:space="preserve"> </w:t>
      </w:r>
      <w:r>
        <w:t xml:space="preserve">performance lost by using the LLM alone, but does not reliably exceed</w:t>
      </w:r>
      <w:r>
        <w:t xml:space="preserve"> </w:t>
      </w:r>
      <w:r>
        <w:t xml:space="preserve">a free classical baseline — and traced this shortfall to two</w:t>
      </w:r>
      <w:r>
        <w:t xml:space="preserve"> </w:t>
      </w:r>
      <w:r>
        <w:t xml:space="preserve">mechanistic causes: constrained-choice arbitration is format-compliant</w:t>
      </w:r>
      <w:r>
        <w:t xml:space="preserve"> </w:t>
      </w:r>
      <w:r>
        <w:t xml:space="preserve">but not always content-correct, and self-reported LLM confidence is</w:t>
      </w:r>
      <w:r>
        <w:t xml:space="preserve"> </w:t>
      </w:r>
      <w:r>
        <w:t xml:space="preserve">not a reliable tie-breaking signal.</w:t>
      </w:r>
    </w:p>
    <w:p>
      <w:pPr>
        <w:pStyle w:val="BodyText"/>
      </w:pPr>
      <w:r>
        <w:t xml:space="preserve">Both of those findings raise a more basic question that the original</w:t>
      </w:r>
      <w:r>
        <w:t xml:space="preserve"> </w:t>
      </w:r>
      <w:r>
        <w:t xml:space="preserve">study’s architecture could not answer, because the researcher — not</w:t>
      </w:r>
      <w:r>
        <w:t xml:space="preserve"> </w:t>
      </w:r>
      <w:r>
        <w:t xml:space="preserve">the model — decided how disagreements were resolved:</w:t>
      </w:r>
      <w:r>
        <w:t xml:space="preserve"> </w:t>
      </w:r>
      <w:r>
        <w:rPr>
          <w:bCs/>
          <w:b/>
        </w:rPr>
        <w:t xml:space="preserve">does the model</w:t>
      </w:r>
      <w:r>
        <w:rPr>
          <w:bCs/>
          <w:b/>
        </w:rPr>
        <w:t xml:space="preserve"> </w:t>
      </w:r>
      <w:r>
        <w:rPr>
          <w:bCs/>
          <w:b/>
        </w:rPr>
        <w:t xml:space="preserve">itself have any genuine insight into when its own judgment should be</w:t>
      </w:r>
      <w:r>
        <w:rPr>
          <w:bCs/>
          <w:b/>
        </w:rPr>
        <w:t xml:space="preserve"> </w:t>
      </w:r>
      <w:r>
        <w:rPr>
          <w:bCs/>
          <w:b/>
        </w:rPr>
        <w:t xml:space="preserve">trusted?</w:t>
      </w:r>
      <w:r>
        <w:t xml:space="preserve"> </w:t>
      </w:r>
      <w:r>
        <w:t xml:space="preserve">This is the question of</w:t>
      </w:r>
      <w:r>
        <w:t xml:space="preserve"> </w:t>
      </w:r>
      <w:r>
        <w:rPr>
          <w:iCs/>
          <w:i/>
        </w:rPr>
        <w:t xml:space="preserve">selective self-assessment</w:t>
      </w:r>
      <w:r>
        <w:t xml:space="preserve"> </w:t>
      </w:r>
      <w:r>
        <w:t xml:space="preserve">— can a</w:t>
      </w:r>
      <w:r>
        <w:t xml:space="preserve"> </w:t>
      </w:r>
      <w:r>
        <w:t xml:space="preserve">small, resource-constrained LLM recognize its own reliability well</w:t>
      </w:r>
      <w:r>
        <w:t xml:space="preserve"> </w:t>
      </w:r>
      <w:r>
        <w:t xml:space="preserve">enough to make a good routing decision, or does it need an external</w:t>
      </w:r>
      <w:r>
        <w:t xml:space="preserve"> </w:t>
      </w:r>
      <w:r>
        <w:t xml:space="preserve">mechanism (like the evaluator studied previously) to do this for it?</w:t>
      </w:r>
    </w:p>
    <w:p>
      <w:pPr>
        <w:pStyle w:val="BodyText"/>
      </w:pPr>
      <w:r>
        <w:t xml:space="preserve">We study this directly with a self-routing task: given cluster marker</w:t>
      </w:r>
      <w:r>
        <w:t xml:space="preserve"> </w:t>
      </w:r>
      <w:r>
        <w:t xml:space="preserve">genes, the LLM predicts a label, decides whether to trust that label</w:t>
      </w:r>
      <w:r>
        <w:t xml:space="preserve"> </w:t>
      </w:r>
      <w:r>
        <w:t xml:space="preserve">(</w:t>
      </w:r>
      <w:r>
        <w:t xml:space="preserve">“</w:t>
      </w:r>
      <w:r>
        <w:t xml:space="preserve">self</w:t>
      </w:r>
      <w:r>
        <w:t xml:space="preserve">”</w:t>
      </w:r>
      <w:r>
        <w:t xml:space="preserve">) or defer to a classical specialist (</w:t>
      </w:r>
      <w:r>
        <w:t xml:space="preserve">“</w:t>
      </w:r>
      <w:r>
        <w:t xml:space="preserve">defer</w:t>
      </w:r>
      <w:r>
        <w:t xml:space="preserve">”</w:t>
      </w:r>
      <w:r>
        <w:t xml:space="preserve">), and reports a</w:t>
      </w:r>
      <w:r>
        <w:t xml:space="preserve"> </w:t>
      </w:r>
      <w:r>
        <w:t xml:space="preserve">confidence score and a stated reason — all in a single call. We test</w:t>
      </w:r>
      <w:r>
        <w:t xml:space="preserve"> </w:t>
      </w:r>
      <w:r>
        <w:t xml:space="preserve">two variants (blind and informed) across three small open-weight</w:t>
      </w:r>
      <w:r>
        <w:t xml:space="preserve"> </w:t>
      </w:r>
      <w:r>
        <w:t xml:space="preserve">models, entirely on free, local infrastructure, evaluated against the</w:t>
      </w:r>
      <w:r>
        <w:t xml:space="preserve"> </w:t>
      </w:r>
      <w:r>
        <w:t xml:space="preserve">same genuine FACS-sorted ground truth used throughout this line of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bCs/>
          <w:b/>
        </w:rPr>
        <w:t xml:space="preserve">Contributions:</w:t>
      </w:r>
      <w:r>
        <w:t xml:space="preserve"> </w:t>
      </w:r>
      <w:r>
        <w:t xml:space="preserve">1. A direct, quantified test of whether small LLMs can self-assess</w:t>
      </w:r>
      <w:r>
        <w:t xml:space="preserve"> </w:t>
      </w:r>
      <w:r>
        <w:t xml:space="preserve">their own reliability on a concrete bioinformatics task, using</w:t>
      </w:r>
      <w:r>
        <w:t xml:space="preserve"> </w:t>
      </w:r>
      <w:r>
        <w:t xml:space="preserve">metrics (discrimination via Delta_route, oracle-ceiling recovery,</w:t>
      </w:r>
      <w:r>
        <w:t xml:space="preserve"> </w:t>
      </w:r>
      <w:r>
        <w:t xml:space="preserve">prevalence-matched baselines) adapted from the selective-prediction</w:t>
      </w:r>
      <w:r>
        <w:t xml:space="preserve"> </w:t>
      </w:r>
      <w:r>
        <w:t xml:space="preserve">literature to this setting.</w:t>
      </w:r>
      <w:r>
        <w:t xml:space="preserve"> </w:t>
      </w:r>
      <w:r>
        <w:t xml:space="preserve">2. A model-dependent, counterintuitive finding: the largest model</w:t>
      </w:r>
      <w:r>
        <w:t xml:space="preserve"> </w:t>
      </w:r>
      <w:r>
        <w:t xml:space="preserve">tested anchors completely on a shown reference answer, while</w:t>
      </w:r>
      <w:r>
        <w:t xml:space="preserve"> </w:t>
      </w:r>
      <w:r>
        <w:t xml:space="preserve">smaller models retain more independent judgment — the opposite of</w:t>
      </w:r>
      <w:r>
        <w:t xml:space="preserve"> </w:t>
      </w:r>
      <w:r>
        <w:t xml:space="preserve">what capability scaling alone would predict.</w:t>
      </w:r>
      <w:r>
        <w:t xml:space="preserve"> </w:t>
      </w:r>
      <w:r>
        <w:t xml:space="preserve">3. A precisely traced failure mode,</w:t>
      </w:r>
      <w:r>
        <w:t xml:space="preserve"> </w:t>
      </w:r>
      <w:r>
        <w:rPr>
          <w:iCs/>
          <w:i/>
        </w:rPr>
        <w:t xml:space="preserve">confabulated independence</w:t>
      </w:r>
      <w:r>
        <w:t xml:space="preserve">,</w:t>
      </w:r>
      <w:r>
        <w:t xml:space="preserve"> </w:t>
      </w:r>
      <w:r>
        <w:t xml:space="preserve">distinguished from simple anchoring by direct evidence that the</w:t>
      </w:r>
      <w:r>
        <w:t xml:space="preserve"> </w:t>
      </w:r>
      <w:r>
        <w:t xml:space="preserve">model’s stated reasoning and its actual output diverge.</w:t>
      </w:r>
      <w:r>
        <w:t xml:space="preserve"> </w:t>
      </w:r>
      <w:r>
        <w:t xml:space="preserve">4. A methodological correction, documented transparently: an initial</w:t>
      </w:r>
      <w:r>
        <w:t xml:space="preserve"> </w:t>
      </w:r>
      <w:r>
        <w:t xml:space="preserve">“</w:t>
      </w:r>
      <w:r>
        <w:t xml:space="preserve">degenerate router</w:t>
      </w:r>
      <w:r>
        <w:t xml:space="preserve">”</w:t>
      </w:r>
      <w:r>
        <w:t xml:space="preserve"> </w:t>
      </w:r>
      <w:r>
        <w:t xml:space="preserve">finding for the smallest model was a JSON</w:t>
      </w:r>
      <w:r>
        <w:t xml:space="preserve"> </w:t>
      </w:r>
      <w:r>
        <w:t xml:space="preserve">parsing artifact, not real model behavior — fixed and verified</w:t>
      </w:r>
      <w:r>
        <w:t xml:space="preserve"> </w:t>
      </w:r>
      <w:r>
        <w:t xml:space="preserve">against the exact data that caused it.</w:t>
      </w:r>
    </w:p>
    <w:p>
      <w:r>
        <w:pict>
          <v:rect style="width:0;height:1.5pt" o:hralign="center" o:hrstd="t" o:hr="t"/>
        </w:pict>
      </w:r>
    </w:p>
    <w:bookmarkEnd w:id="21"/>
    <w:bookmarkStart w:id="22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This study reuses the same literature grounding as our companion paper:</w:t>
      </w:r>
      <w:r>
        <w:t xml:space="preserve"> </w:t>
      </w:r>
      <w:r>
        <w:t xml:space="preserve">recent surveys document a rapidly growing population of agentic AI</w:t>
      </w:r>
      <w:r>
        <w:t xml:space="preserve"> </w:t>
      </w:r>
      <w:r>
        <w:t xml:space="preserve">systems in bioinformatics, organized around planner-executor-evaluator</w:t>
      </w:r>
      <w:r>
        <w:t xml:space="preserve"> </w:t>
      </w:r>
      <w:r>
        <w:t xml:space="preserve">and specialist-reconciliation patterns, with representative systems</w:t>
      </w:r>
      <w:r>
        <w:t xml:space="preserve"> </w:t>
      </w:r>
      <w:r>
        <w:t xml:space="preserve">such as CellAgent, BioMaster, and Biomni. As in the companion study,</w:t>
      </w:r>
      <w:r>
        <w:t xml:space="preserve"> </w:t>
      </w:r>
      <w:r>
        <w:t xml:space="preserve">we note that essentially all of this prior work assumes access to a</w:t>
      </w:r>
      <w:r>
        <w:t xml:space="preserve"> </w:t>
      </w:r>
      <w:r>
        <w:t xml:space="preserve">frontier-tier model; the resource-constrained, free-inference setting</w:t>
      </w:r>
      <w:r>
        <w:t xml:space="preserve"> </w:t>
      </w:r>
      <w:r>
        <w:t xml:space="preserve">studied here and in the companion paper remains comparatively</w:t>
      </w:r>
      <w:r>
        <w:t xml:space="preserve"> </w:t>
      </w:r>
      <w:r>
        <w:t xml:space="preserve">unexamined.</w:t>
      </w:r>
    </w:p>
    <w:p>
      <w:pPr>
        <w:pStyle w:val="BodyText"/>
      </w:pPr>
      <w:r>
        <w:t xml:space="preserve">This study’s specific question — can a model’s own stated confidence</w:t>
      </w:r>
      <w:r>
        <w:t xml:space="preserve"> </w:t>
      </w:r>
      <w:r>
        <w:t xml:space="preserve">or routing decision be trusted — connects to a broader machine</w:t>
      </w:r>
      <w:r>
        <w:t xml:space="preserve"> </w:t>
      </w:r>
      <w:r>
        <w:t xml:space="preserve">learning literature on selective prediction, calibration, and</w:t>
      </w:r>
      <w:r>
        <w:t xml:space="preserve"> </w:t>
      </w:r>
      <w:r>
        <w:t xml:space="preserve">abstention.</w:t>
      </w:r>
      <w:r>
        <w:t xml:space="preserve"> </w:t>
      </w:r>
      <w:r>
        <w:rPr>
          <w:iCs/>
          <w:i/>
        </w:rPr>
        <w:t xml:space="preserve">(Note: specific citations to that literature to be added</w:t>
      </w:r>
      <w:r>
        <w:rPr>
          <w:iCs/>
          <w:i/>
        </w:rPr>
        <w:t xml:space="preserve"> </w:t>
      </w:r>
      <w:r>
        <w:rPr>
          <w:iCs/>
          <w:i/>
        </w:rPr>
        <w:t xml:space="preserve">after independent verification before submission — not included here</w:t>
      </w:r>
      <w:r>
        <w:rPr>
          <w:iCs/>
          <w:i/>
        </w:rPr>
        <w:t xml:space="preserve"> </w:t>
      </w:r>
      <w:r>
        <w:rPr>
          <w:iCs/>
          <w:i/>
        </w:rPr>
        <w:t xml:space="preserve">to avoid citing unverified sources, consistent with the verification</w:t>
      </w:r>
      <w:r>
        <w:rPr>
          <w:iCs/>
          <w:i/>
        </w:rPr>
        <w:t xml:space="preserve"> </w:t>
      </w:r>
      <w:r>
        <w:rPr>
          <w:iCs/>
          <w:i/>
        </w:rPr>
        <w:t xml:space="preserve">process used for the companion paper’s reference list.)</w:t>
      </w:r>
    </w:p>
    <w:p>
      <w:r>
        <w:pict>
          <v:rect style="width:0;height:1.5pt" o:hralign="center" o:hrstd="t" o:hr="t"/>
        </w:pict>
      </w:r>
    </w:p>
    <w:bookmarkEnd w:id="22"/>
    <w:bookmarkStart w:id="23" w:name="task-data-and-method"/>
    <w:p>
      <w:pPr>
        <w:pStyle w:val="Heading2"/>
      </w:pPr>
      <w:r>
        <w:t xml:space="preserve">3. Task, Data, and Method</w:t>
      </w:r>
    </w:p>
    <w:p>
      <w:pPr>
        <w:pStyle w:val="FirstParagraph"/>
      </w:pPr>
      <w:r>
        <w:rPr>
          <w:bCs/>
          <w:b/>
        </w:rPr>
        <w:t xml:space="preserve">Dataset and preprocessing</w:t>
      </w:r>
      <w:r>
        <w:t xml:space="preserve">: identical to the companion study —</w:t>
      </w:r>
      <w:r>
        <w:t xml:space="preserve"> </w:t>
      </w:r>
      <w:r>
        <w:rPr>
          <w:rStyle w:val="VerbatimChar"/>
        </w:rPr>
        <w:t xml:space="preserve">pbmc68k_reduced</w:t>
      </w:r>
      <w:r>
        <w:t xml:space="preserve"> </w:t>
      </w:r>
      <w:r>
        <w:t xml:space="preserve">(Zheng et al., bundled with Scanpy), genuine</w:t>
      </w:r>
      <w:r>
        <w:t xml:space="preserve"> </w:t>
      </w:r>
      <w:r>
        <w:t xml:space="preserve">FACS-sorted ground truth, 10 real cell types, 700 cells, shared</w:t>
      </w:r>
      <w:r>
        <w:t xml:space="preserve"> </w:t>
      </w:r>
      <w:r>
        <w:t xml:space="preserve">QC/normalization/clustering pipeline (Leiden, resolution 0.6).</w:t>
      </w:r>
    </w:p>
    <w:p>
      <w:pPr>
        <w:pStyle w:val="BodyText"/>
      </w:pPr>
      <w:r>
        <w:rPr>
          <w:bCs/>
          <w:b/>
        </w:rPr>
        <w:t xml:space="preserve">Classical specialist</w:t>
      </w:r>
      <w:r>
        <w:t xml:space="preserve">: the same deterministic marker-gene-scoring</w:t>
      </w:r>
      <w:r>
        <w:t xml:space="preserve"> </w:t>
      </w:r>
      <w:r>
        <w:t xml:space="preserve">method from the companion study, extended to report a confidence</w:t>
      </w:r>
      <w:r>
        <w:t xml:space="preserve"> </w:t>
      </w:r>
      <w:r>
        <w:t xml:space="preserve">signal (the margin between its top and runner-up marker score).</w:t>
      </w:r>
    </w:p>
    <w:p>
      <w:pPr>
        <w:pStyle w:val="BodyText"/>
      </w:pPr>
      <w:r>
        <w:rPr>
          <w:bCs/>
          <w:b/>
        </w:rPr>
        <w:t xml:space="preserve">Self-routing task</w:t>
      </w:r>
      <w:r>
        <w:t xml:space="preserve">: in a single LLM call, given cluster marker</w:t>
      </w:r>
      <w:r>
        <w:t xml:space="preserve"> </w:t>
      </w:r>
      <w:r>
        <w:t xml:space="preserve">genes, the model returns per cluster: a predicted label, a routing</w:t>
      </w:r>
      <w:r>
        <w:t xml:space="preserve"> </w:t>
      </w:r>
      <w:r>
        <w:t xml:space="preserve">decision (</w:t>
      </w:r>
      <w:r>
        <w:t xml:space="preserve">“</w:t>
      </w:r>
      <w:r>
        <w:t xml:space="preserve">self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defer</w:t>
      </w:r>
      <w:r>
        <w:t xml:space="preserve">”</w:t>
      </w:r>
      <w:r>
        <w:t xml:space="preserve">), a one-sentence stated reason, and a</w:t>
      </w:r>
      <w:r>
        <w:t xml:space="preserve"> </w:t>
      </w:r>
      <w:r>
        <w:t xml:space="preserve">0–100 confidence score.</w:t>
      </w:r>
    </w:p>
    <w:p>
      <w:pPr>
        <w:pStyle w:val="BodyText"/>
      </w:pPr>
      <w:r>
        <w:rPr>
          <w:bCs/>
          <w:b/>
        </w:rPr>
        <w:t xml:space="preserve">Two variants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Blind</w:t>
      </w:r>
      <w:r>
        <w:t xml:space="preserve">: the model sees only its own marker-gene input — no</w:t>
      </w:r>
      <w:r>
        <w:t xml:space="preserve"> </w:t>
      </w:r>
      <w:r>
        <w:t xml:space="preserve">classical output is shown.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Informed</w:t>
      </w:r>
      <w:r>
        <w:t xml:space="preserve">: the model additionally sees the classical specialist’s</w:t>
      </w:r>
      <w:r>
        <w:t xml:space="preserve"> </w:t>
      </w:r>
      <w:r>
        <w:t xml:space="preserve">label for that cluster (not marked as correct).</w:t>
      </w:r>
    </w:p>
    <w:p>
      <w:pPr>
        <w:pStyle w:val="BodyText"/>
      </w:pPr>
      <w:r>
        <w:rPr>
          <w:bCs/>
          <w:b/>
        </w:rPr>
        <w:t xml:space="preserve">Validity gate</w:t>
      </w:r>
      <w:r>
        <w:t xml:space="preserve">: if the model routes to</w:t>
      </w:r>
      <w:r>
        <w:t xml:space="preserve"> </w:t>
      </w:r>
      <w:r>
        <w:t xml:space="preserve">“</w:t>
      </w:r>
      <w:r>
        <w:t xml:space="preserve">self</w:t>
      </w:r>
      <w:r>
        <w:t xml:space="preserve">”</w:t>
      </w:r>
      <w:r>
        <w:t xml:space="preserve"> </w:t>
      </w:r>
      <w:r>
        <w:t xml:space="preserve">but its own label is</w:t>
      </w:r>
      <w:r>
        <w:t xml:space="preserve"> </w:t>
      </w:r>
      <w:r>
        <w:t xml:space="preserve">not a genuine candidate label, the routing choice is forced to</w:t>
      </w:r>
      <w:r>
        <w:t xml:space="preserve"> </w:t>
      </w:r>
      <w:r>
        <w:t xml:space="preserve">“</w:t>
      </w:r>
      <w:r>
        <w:t xml:space="preserve">defer</w:t>
      </w:r>
      <w:r>
        <w:t xml:space="preserve">”</w:t>
      </w:r>
      <w:r>
        <w:t xml:space="preserve"> </w:t>
      </w:r>
      <w:r>
        <w:t xml:space="preserve">regardless of stated confidence — the same principle</w:t>
      </w:r>
      <w:r>
        <w:t xml:space="preserve"> </w:t>
      </w:r>
      <w:r>
        <w:t xml:space="preserve">established in the companion study’s evaluator design, applied here.</w:t>
      </w:r>
    </w:p>
    <w:p>
      <w:pPr>
        <w:pStyle w:val="BodyText"/>
      </w:pPr>
      <w:r>
        <w:rPr>
          <w:bCs/>
          <w:b/>
        </w:rPr>
        <w:t xml:space="preserve">Models</w:t>
      </w:r>
      <w:r>
        <w:t xml:space="preserve">: llama3.2:3b, llama3.2:1b, qwen2.5:1.5b, all served locally</w:t>
      </w:r>
      <w:r>
        <w:t xml:space="preserve"> </w:t>
      </w:r>
      <w:r>
        <w:t xml:space="preserve">via Ollama, zero monetary cost, run on an 8GB-RAM consumer laptop — no</w:t>
      </w:r>
      <w:r>
        <w:t xml:space="preserve"> </w:t>
      </w:r>
      <w:r>
        <w:t xml:space="preserve">frontier-tier or paid-API model evaluated, consistent with the</w:t>
      </w:r>
      <w:r>
        <w:t xml:space="preserve"> </w:t>
      </w:r>
      <w:r>
        <w:t xml:space="preserve">resource-constrained scope of this line of work.</w:t>
      </w:r>
    </w:p>
    <w:p>
      <w:pPr>
        <w:pStyle w:val="BodyText"/>
      </w:pPr>
      <w:r>
        <w:rPr>
          <w:bCs/>
          <w:b/>
        </w:rPr>
        <w:t xml:space="preserve">Metrics</w:t>
      </w:r>
      <w:r>
        <w:t xml:space="preserve">: alongside standard classification metrics, we report:</w:t>
      </w:r>
      <w:r>
        <w:t xml:space="preserve"> </w:t>
      </w:r>
      <w:r>
        <w:t xml:space="preserve">accuracy conditioned on routing choice; a 2×2 correctness table</w:t>
      </w:r>
      <w:r>
        <w:t xml:space="preserve"> </w:t>
      </w:r>
      <w:r>
        <w:t xml:space="preserve">(classical × LLM, both right / both wrong / only one right) to</w:t>
      </w:r>
      <w:r>
        <w:t xml:space="preserve"> </w:t>
      </w:r>
      <w:r>
        <w:t xml:space="preserve">identify how often the routing decision could plausibly matter;</w:t>
      </w:r>
      <w:r>
        <w:t xml:space="preserve"> </w:t>
      </w:r>
      <w:r>
        <w:rPr>
          <w:bCs/>
          <w:b/>
        </w:rPr>
        <w:t xml:space="preserve">Delta_route</w:t>
      </w:r>
      <w:r>
        <w:t xml:space="preserve"> </w:t>
      </w:r>
      <w:r>
        <w:t xml:space="preserve">= P(route=self | LLM correct) − P(route=self | LLM</w:t>
      </w:r>
      <w:r>
        <w:t xml:space="preserve"> </w:t>
      </w:r>
      <w:r>
        <w:t xml:space="preserve">wrong), the central discrimination metric — a model with genuine</w:t>
      </w:r>
      <w:r>
        <w:t xml:space="preserve"> </w:t>
      </w:r>
      <w:r>
        <w:t xml:space="preserve">self-awareness should route to</w:t>
      </w:r>
      <w:r>
        <w:t xml:space="preserve"> </w:t>
      </w:r>
      <w:r>
        <w:t xml:space="preserve">“</w:t>
      </w:r>
      <w:r>
        <w:t xml:space="preserve">self</w:t>
      </w:r>
      <w:r>
        <w:t xml:space="preserve">”</w:t>
      </w:r>
      <w:r>
        <w:t xml:space="preserve"> </w:t>
      </w:r>
      <w:r>
        <w:t xml:space="preserve">disproportionately when it is</w:t>
      </w:r>
      <w:r>
        <w:t xml:space="preserve"> </w:t>
      </w:r>
      <w:r>
        <w:t xml:space="preserve">actually correct; an</w:t>
      </w:r>
      <w:r>
        <w:t xml:space="preserve"> </w:t>
      </w:r>
      <w:r>
        <w:rPr>
          <w:bCs/>
          <w:b/>
        </w:rPr>
        <w:t xml:space="preserve">oracle ceiling</w:t>
      </w:r>
      <w:r>
        <w:t xml:space="preserve"> </w:t>
      </w:r>
      <w:r>
        <w:t xml:space="preserve">(accuracy if routing were</w:t>
      </w:r>
      <w:r>
        <w:t xml:space="preserve"> </w:t>
      </w:r>
      <w:r>
        <w:t xml:space="preserve">always correct, when at least one specialist is right); and a</w:t>
      </w:r>
      <w:r>
        <w:t xml:space="preserve"> </w:t>
      </w:r>
      <w:r>
        <w:rPr>
          <w:bCs/>
          <w:b/>
        </w:rPr>
        <w:t xml:space="preserve">prevalence-matched random baseline</w:t>
      </w:r>
      <w:r>
        <w:t xml:space="preserve"> </w:t>
      </w:r>
      <w:r>
        <w:t xml:space="preserve">(expected accuracy if routing</w:t>
      </w:r>
      <w:r>
        <w:t xml:space="preserve"> </w:t>
      </w:r>
      <w:r>
        <w:t xml:space="preserve">were random at the model’s own observed self-rate, isolating</w:t>
      </w:r>
      <w:r>
        <w:t xml:space="preserve"> </w:t>
      </w:r>
      <w:r>
        <w:t xml:space="preserve">discrimination skill from routing frequency).</w:t>
      </w:r>
    </w:p>
    <w:p>
      <w:pPr>
        <w:pStyle w:val="BodyText"/>
      </w:pPr>
      <w:r>
        <w:rPr>
          <w:bCs/>
          <w:b/>
        </w:rPr>
        <w:t xml:space="preserve">Trials</w:t>
      </w:r>
      <w:r>
        <w:t xml:space="preserve">: 5 trials per model per variant, clustering held fixed,</w:t>
      </w:r>
      <w:r>
        <w:t xml:space="preserve"> </w:t>
      </w:r>
      <w:r>
        <w:t xml:space="preserve">LLM sampling varied — identical protocol to the companion study.</w:t>
      </w:r>
    </w:p>
    <w:p>
      <w:pPr>
        <w:pStyle w:val="BodyText"/>
      </w:pPr>
      <w:r>
        <w:rPr>
          <w:bCs/>
          <w:b/>
        </w:rPr>
        <w:t xml:space="preserve">Parser robustness (methodological note)</w:t>
      </w:r>
      <w:r>
        <w:t xml:space="preserve">: llama3.2:1b was found to</w:t>
      </w:r>
      <w:r>
        <w:t xml:space="preserve"> </w:t>
      </w:r>
      <w:r>
        <w:t xml:space="preserve">consistently produce content-correct but structurally invalid JSON</w:t>
      </w:r>
      <w:r>
        <w:t xml:space="preserve"> </w:t>
      </w:r>
      <w:r>
        <w:t xml:space="preserve">(unclosed outer braces, or per-cluster objects incorrectly wrapped and</w:t>
      </w:r>
      <w:r>
        <w:t xml:space="preserve"> </w:t>
      </w:r>
      <w:r>
        <w:t xml:space="preserve">comma-joined rather than nested as keys of one object). An initial</w:t>
      </w:r>
      <w:r>
        <w:t xml:space="preserve"> </w:t>
      </w:r>
      <w:r>
        <w:t xml:space="preserve">strict-JSON parser silently defaulted every malformed response to</w:t>
      </w:r>
      <w:r>
        <w:t xml:space="preserve"> </w:t>
      </w:r>
      <w:r>
        <w:t xml:space="preserve">“</w:t>
      </w:r>
      <w:r>
        <w:t xml:space="preserve">defer,</w:t>
      </w:r>
      <w:r>
        <w:t xml:space="preserve">”</w:t>
      </w:r>
      <w:r>
        <w:t xml:space="preserve"> </w:t>
      </w:r>
      <w:r>
        <w:t xml:space="preserve">producing what looked like a fully degenerate router. This</w:t>
      </w:r>
      <w:r>
        <w:t xml:space="preserve"> </w:t>
      </w:r>
      <w:r>
        <w:t xml:space="preserve">was corrected with a parser that falls back to regex-based per-cluster</w:t>
      </w:r>
      <w:r>
        <w:t xml:space="preserve"> </w:t>
      </w:r>
      <w:r>
        <w:t xml:space="preserve">extraction when strict parsing fails or is incomplete, verified</w:t>
      </w:r>
      <w:r>
        <w:t xml:space="preserve"> </w:t>
      </w:r>
      <w:r>
        <w:t xml:space="preserve">against the exact malformed strings that caused the original failure;</w:t>
      </w:r>
      <w:r>
        <w:t xml:space="preserve"> </w:t>
      </w:r>
      <w:r>
        <w:t xml:space="preserve">well-formed responses are unaffected (verified with no regression on</w:t>
      </w:r>
      <w:r>
        <w:t xml:space="preserve"> </w:t>
      </w:r>
      <w:r>
        <w:t xml:space="preserve">llama3.2:3b’s output). This is reported as a substantive methodological</w:t>
      </w:r>
      <w:r>
        <w:t xml:space="preserve"> </w:t>
      </w:r>
      <w:r>
        <w:t xml:space="preserve">finding, not just a bugfix:</w:t>
      </w:r>
      <w:r>
        <w:t xml:space="preserve"> </w:t>
      </w:r>
      <w:r>
        <w:rPr>
          <w:bCs/>
          <w:b/>
        </w:rPr>
        <w:t xml:space="preserve">evaluating a weaker model’s reasoning</w:t>
      </w:r>
      <w:r>
        <w:rPr>
          <w:bCs/>
          <w:b/>
        </w:rPr>
        <w:t xml:space="preserve"> </w:t>
      </w:r>
      <w:r>
        <w:rPr>
          <w:bCs/>
          <w:b/>
        </w:rPr>
        <w:t xml:space="preserve">requires a parser at least as robust as the strongest model tested</w:t>
      </w:r>
      <w:r>
        <w:t xml:space="preserve">,</w:t>
      </w:r>
      <w:r>
        <w:t xml:space="preserve"> </w:t>
      </w:r>
      <w:r>
        <w:t xml:space="preserve">or format failures will masquerade as reasoning failures.</w:t>
      </w:r>
    </w:p>
    <w:p>
      <w:r>
        <w:pict>
          <v:rect style="width:0;height:1.5pt" o:hralign="center" o:hrstd="t" o:hr="t"/>
        </w:pict>
      </w:r>
    </w:p>
    <w:bookmarkEnd w:id="23"/>
    <w:bookmarkStart w:id="27" w:name="results"/>
    <w:p>
      <w:pPr>
        <w:pStyle w:val="Heading2"/>
      </w:pPr>
      <w:r>
        <w:t xml:space="preserve">4. Results</w:t>
      </w:r>
    </w:p>
    <w:bookmarkStart w:id="24" w:name="X9f381b8282d1d02fa90cc60b55668a92e2ff033"/>
    <w:p>
      <w:pPr>
        <w:pStyle w:val="Heading3"/>
      </w:pPr>
      <w:r>
        <w:t xml:space="preserve">4.1 Blind self-routing — universal pattern across all three models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Acc(self)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Acc(defer)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Always-defer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llama3.2:3b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llama3.2:1b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+0.632 (n=2, noisy)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qwen2.5:1.5b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57.5%</w:t>
            </w:r>
          </w:p>
        </w:tc>
      </w:tr>
    </w:tbl>
    <w:p>
      <w:pPr>
        <w:pStyle w:val="BodyText"/>
      </w:pPr>
      <w:r>
        <w:t xml:space="preserve">Every model shows a positive Delta_route — a small amount of genuine</w:t>
      </w:r>
      <w:r>
        <w:t xml:space="preserve"> </w:t>
      </w:r>
      <w:r>
        <w:t xml:space="preserve">signal about its own reliability exists — yet</w:t>
      </w:r>
      <w:r>
        <w:t xml:space="preserve"> </w:t>
      </w:r>
      <w:r>
        <w:rPr>
          <w:bCs/>
          <w:b/>
        </w:rPr>
        <w:t xml:space="preserve">every model</w:t>
      </w:r>
      <w:r>
        <w:rPr>
          <w:bCs/>
          <w:b/>
        </w:rPr>
        <w:t xml:space="preserve"> </w:t>
      </w:r>
      <w:r>
        <w:rPr>
          <w:bCs/>
          <w:b/>
        </w:rPr>
        <w:t xml:space="preserve">substantially underperforms simply always deferring to classical</w:t>
      </w:r>
      <w:r>
        <w:t xml:space="preserve"> </w:t>
      </w:r>
      <w:r>
        <w:t xml:space="preserve">(0.400–0.450 actual vs. 0.625 always-defer). Confidence–correctness</w:t>
      </w:r>
      <w:r>
        <w:t xml:space="preserve"> </w:t>
      </w:r>
      <w:r>
        <w:t xml:space="preserve">correlation is negative for all three models (−0.139, −0.305, −0.323),</w:t>
      </w:r>
      <w:r>
        <w:t xml:space="preserve"> </w:t>
      </w:r>
      <w:r>
        <w:t xml:space="preserve">replicating the companion study’s label-confidence miscalibration</w:t>
      </w:r>
      <w:r>
        <w:t xml:space="preserve"> </w:t>
      </w:r>
      <w:r>
        <w:t xml:space="preserve">finding at this meta level: self-reported confidence should not be</w:t>
      </w:r>
      <w:r>
        <w:t xml:space="preserve"> </w:t>
      </w:r>
      <w:r>
        <w:t xml:space="preserve">trusted as a reliability signal, regardless of model.</w:t>
      </w:r>
    </w:p>
    <w:p>
      <w:pPr>
        <w:pStyle w:val="BodyText"/>
      </w:pPr>
      <w:r>
        <w:t xml:space="preserve">The mechanism is consistent across models: self-routing occurs far</w:t>
      </w:r>
      <w:r>
        <w:t xml:space="preserve"> </w:t>
      </w:r>
      <w:r>
        <w:t xml:space="preserve">more often (40–50% of clusters) than is actually warranted by</w:t>
      </w:r>
      <w:r>
        <w:t xml:space="preserve"> </w:t>
      </w:r>
      <w:r>
        <w:t xml:space="preserve">reliability (12.5–20% accuracy when self-routed) — a small amount of</w:t>
      </w:r>
      <w:r>
        <w:t xml:space="preserve"> </w:t>
      </w:r>
      <w:r>
        <w:t xml:space="preserve">real discrimination is present but swamped by systematic</w:t>
      </w:r>
      <w:r>
        <w:t xml:space="preserve"> </w:t>
      </w:r>
      <w:r>
        <w:t xml:space="preserve">over-confidence in one’s own judgment.</w:t>
      </w:r>
    </w:p>
    <w:bookmarkEnd w:id="24"/>
    <w:bookmarkStart w:id="25" w:name="X69bbfed17a7e6daf9b7f0884a227a3851d86f7e"/>
    <w:p>
      <w:pPr>
        <w:pStyle w:val="Heading3"/>
      </w:pPr>
      <w:r>
        <w:t xml:space="preserve">4.2 Informed self-routing — a model-dependent, counterintuitive result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Acc(self)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Acc(defer)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Always-defer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llama3.2:3b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−0.133 (inverted)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llama3.2:1b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qwen2.5:1.5b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llama3.2:3b’s routing decision never once changed the final outcome</w:t>
      </w:r>
      <w:r>
        <w:rPr>
          <w:bCs/>
          <w:b/>
        </w:rPr>
        <w:t xml:space="preserve"> </w:t>
      </w:r>
      <w:r>
        <w:rPr>
          <w:bCs/>
          <w:b/>
        </w:rPr>
        <w:t xml:space="preserve">across all 40 cluster-trials</w:t>
      </w:r>
      <w:r>
        <w:t xml:space="preserve"> </w:t>
      </w:r>
      <w:r>
        <w:t xml:space="preserve">(0% discordant) and its discrimination</w:t>
      </w:r>
      <w:r>
        <w:t xml:space="preserve"> </w:t>
      </w:r>
      <w:r>
        <w:t xml:space="preserve">is inverted. Both smaller models show real discordance (12.5%, 15.0%)</w:t>
      </w:r>
      <w:r>
        <w:t xml:space="preserve"> </w:t>
      </w:r>
      <w:r>
        <w:t xml:space="preserve">and positive discrimination; only llama3.2:1b’s informed routing beats</w:t>
      </w:r>
      <w:r>
        <w:t xml:space="preserve"> </w:t>
      </w:r>
      <w:r>
        <w:t xml:space="preserve">its own prevalence-matched baseline (+0.053) — qwen2.5:1.5b does not</w:t>
      </w:r>
      <w:r>
        <w:t xml:space="preserve"> </w:t>
      </w:r>
      <w:r>
        <w:t xml:space="preserve">(−0.010), because it self-routes very frequently (65%) while</w:t>
      </w:r>
      <w:r>
        <w:t xml:space="preserve"> </w:t>
      </w:r>
      <w:r>
        <w:t xml:space="preserve">recovering only 20% of available oracle headroom.</w:t>
      </w:r>
    </w:p>
    <w:p>
      <w:pPr>
        <w:pStyle w:val="BodyText"/>
      </w:pPr>
      <w:r>
        <w:rPr>
          <w:bCs/>
          <w:b/>
        </w:rPr>
        <w:t xml:space="preserve">This inverts the naive prediction that a larger model would show</w:t>
      </w:r>
      <w:r>
        <w:rPr>
          <w:bCs/>
          <w:b/>
        </w:rPr>
        <w:t xml:space="preserve"> </w:t>
      </w:r>
      <w:r>
        <w:rPr>
          <w:bCs/>
          <w:b/>
        </w:rPr>
        <w:t xml:space="preserve">more robust independent judgment.</w:t>
      </w:r>
      <w:r>
        <w:t xml:space="preserve"> </w:t>
      </w:r>
      <w:r>
        <w:t xml:space="preserve">The opposite occurred.</w:t>
      </w:r>
    </w:p>
    <w:bookmarkEnd w:id="25"/>
    <w:bookmarkStart w:id="26" w:name="Xaab68b0572e009156c665cfc075bf1a27b6b924"/>
    <w:p>
      <w:pPr>
        <w:pStyle w:val="Heading3"/>
      </w:pPr>
      <w:r>
        <w:t xml:space="preserve">4.3 Qualitative hand-coding: confabulated independence</w:t>
      </w:r>
    </w:p>
    <w:p>
      <w:pPr>
        <w:pStyle w:val="FirstParagraph"/>
      </w:pPr>
      <w:r>
        <w:t xml:space="preserve">A hand-coding pass (see companion document,</w:t>
      </w:r>
      <w:r>
        <w:t xml:space="preserve"> </w:t>
      </w:r>
      <w:r>
        <w:rPr>
          <w:rStyle w:val="VerbatimChar"/>
        </w:rPr>
        <w:t xml:space="preserve">self_routing_qualitative _coding.md</w:t>
      </w:r>
      <w:r>
        <w:t xml:space="preserve">) traced the llama3.2:3b informed collapse to a specific</w:t>
      </w:r>
      <w:r>
        <w:t xml:space="preserve"> </w:t>
      </w:r>
      <w:r>
        <w:t xml:space="preserve">mechanism. For every</w:t>
      </w:r>
      <w:r>
        <w:t xml:space="preserve"> </w:t>
      </w:r>
      <w:r>
        <w:t xml:space="preserve">“</w:t>
      </w:r>
      <w:r>
        <w:t xml:space="preserve">self</w:t>
      </w:r>
      <w:r>
        <w:t xml:space="preserve">”</w:t>
      </w:r>
      <w:r>
        <w:t xml:space="preserve">-routed cluster across all 5 trials, the</w:t>
      </w:r>
      <w:r>
        <w:t xml:space="preserve"> </w:t>
      </w:r>
      <w:r>
        <w:t xml:space="preserve">model’s own predicted label was</w:t>
      </w:r>
      <w:r>
        <w:t xml:space="preserve"> </w:t>
      </w:r>
      <w:r>
        <w:rPr>
          <w:bCs/>
          <w:b/>
        </w:rPr>
        <w:t xml:space="preserve">identical, character-for-character,</w:t>
      </w:r>
      <w:r>
        <w:rPr>
          <w:bCs/>
          <w:b/>
        </w:rPr>
        <w:t xml:space="preserve"> </w:t>
      </w:r>
      <w:r>
        <w:rPr>
          <w:bCs/>
          <w:b/>
        </w:rPr>
        <w:t xml:space="preserve">to the classical label it had just been shown</w:t>
      </w:r>
      <w:r>
        <w:t xml:space="preserve"> </w:t>
      </w:r>
      <w:r>
        <w:t xml:space="preserve">— while its stated</w:t>
      </w:r>
      <w:r>
        <w:t xml:space="preserve"> </w:t>
      </w:r>
      <w:r>
        <w:t xml:space="preserve">reason explicitly claimed independence (e.g. </w:t>
      </w:r>
      <w:r>
        <w:t xml:space="preserve">“</w:t>
      </w:r>
      <w:r>
        <w:t xml:space="preserve">strong B-cell markers…</w:t>
      </w:r>
      <w:r>
        <w:t xml:space="preserve"> </w:t>
      </w:r>
      <w:r>
        <w:rPr>
          <w:bCs/>
          <w:b/>
        </w:rPr>
        <w:t xml:space="preserve">despite the other method’s guess</w:t>
      </w:r>
      <w:r>
        <w:t xml:space="preserve">,</w:t>
      </w:r>
      <w:r>
        <w:t xml:space="preserve">”</w:t>
      </w:r>
      <w:r>
        <w:t xml:space="preserve"> </w:t>
      </w:r>
      <w:r>
        <w:t xml:space="preserve">where the</w:t>
      </w:r>
      <w:r>
        <w:t xml:space="preserve"> </w:t>
      </w:r>
      <w:r>
        <w:t xml:space="preserve">“</w:t>
      </w:r>
      <w:r>
        <w:t xml:space="preserve">other method’s</w:t>
      </w:r>
      <w:r>
        <w:t xml:space="preserve"> </w:t>
      </w:r>
      <w:r>
        <w:t xml:space="preserve">guess</w:t>
      </w:r>
      <w:r>
        <w:t xml:space="preserve">”</w:t>
      </w:r>
      <w:r>
        <w:t xml:space="preserve"> </w:t>
      </w:r>
      <w:r>
        <w:t xml:space="preserve">and the model’s own answer are the same string). We term this</w:t>
      </w:r>
      <w:r>
        <w:t xml:space="preserve"> </w:t>
      </w:r>
      <w:r>
        <w:rPr>
          <w:bCs/>
          <w:b/>
        </w:rPr>
        <w:t xml:space="preserve">confabulated independence</w:t>
      </w:r>
      <w:r>
        <w:t xml:space="preserve">: the model’s narrated reasoning and its</w:t>
      </w:r>
      <w:r>
        <w:t xml:space="preserve"> </w:t>
      </w:r>
      <w:r>
        <w:t xml:space="preserve">verifiable output diverge in a specific, traceable way. This is a</w:t>
      </w:r>
      <w:r>
        <w:t xml:space="preserve"> </w:t>
      </w:r>
      <w:r>
        <w:t xml:space="preserve">stronger and more precise claim than generic</w:t>
      </w:r>
      <w:r>
        <w:t xml:space="preserve"> </w:t>
      </w:r>
      <w:r>
        <w:t xml:space="preserve">“</w:t>
      </w:r>
      <w:r>
        <w:t xml:space="preserve">anchoring,</w:t>
      </w:r>
      <w:r>
        <w:t xml:space="preserve">”</w:t>
      </w:r>
      <w:r>
        <w:t xml:space="preserve"> </w:t>
      </w:r>
      <w:r>
        <w:t xml:space="preserve">though we</w:t>
      </w:r>
      <w:r>
        <w:t xml:space="preserve"> </w:t>
      </w:r>
      <w:r>
        <w:t xml:space="preserve">note a caveat — the affected clusters (Dendritic, CD19+ B, CD56+ NK)</w:t>
      </w:r>
      <w:r>
        <w:t xml:space="preserve"> </w:t>
      </w:r>
      <w:r>
        <w:t xml:space="preserve">are also the most biologically distinctive clusters in this dataset,</w:t>
      </w:r>
      <w:r>
        <w:t xml:space="preserve"> </w:t>
      </w:r>
      <w:r>
        <w:t xml:space="preserve">so genuine independent convergence cannot be fully ruled out as a</w:t>
      </w:r>
      <w:r>
        <w:t xml:space="preserve"> </w:t>
      </w:r>
      <w:r>
        <w:t xml:space="preserve">partial contributor alongside the templated justification pattern</w:t>
      </w:r>
      <w:r>
        <w:t xml:space="preserve"> </w:t>
      </w:r>
      <w:r>
        <w:t xml:space="preserve">observed.</w:t>
      </w:r>
    </w:p>
    <w:p>
      <w:pPr>
        <w:pStyle w:val="BodyText"/>
      </w:pPr>
      <w:r>
        <w:t xml:space="preserve">A secondary finding from the same pass: at least one instance of an</w:t>
      </w:r>
      <w:r>
        <w:t xml:space="preserve"> </w:t>
      </w:r>
      <w:r>
        <w:rPr>
          <w:bCs/>
          <w:b/>
        </w:rPr>
        <w:t xml:space="preserve">invented marker-gene association</w:t>
      </w:r>
      <w:r>
        <w:t xml:space="preserve"> </w:t>
      </w:r>
      <w:r>
        <w:t xml:space="preserve">was found (qwen2.5:1.5b citing</w:t>
      </w:r>
      <w:r>
        <w:t xml:space="preserve"> </w:t>
      </w:r>
      <w:r>
        <w:t xml:space="preserve">IRF8 as</w:t>
      </w:r>
      <w:r>
        <w:t xml:space="preserve"> </w:t>
      </w:r>
      <w:r>
        <w:t xml:space="preserve">“</w:t>
      </w:r>
      <w:r>
        <w:t xml:space="preserve">a general stress response gene,</w:t>
      </w:r>
      <w:r>
        <w:t xml:space="preserve">”</w:t>
      </w:r>
      <w:r>
        <w:t xml:space="preserve"> </w:t>
      </w:r>
      <w:r>
        <w:t xml:space="preserve">when it is in fact a</w:t>
      </w:r>
      <w:r>
        <w:t xml:space="preserve"> </w:t>
      </w:r>
      <w:r>
        <w:t xml:space="preserve">transcription factor central to dendritic/myeloid lineage commitment).</w:t>
      </w:r>
      <w:r>
        <w:t xml:space="preserve"> </w:t>
      </w:r>
      <w:r>
        <w:t xml:space="preserve">This is structurally indistinguishable from genuine marker citation —</w:t>
      </w:r>
      <w:r>
        <w:t xml:space="preserve"> </w:t>
      </w:r>
      <w:r>
        <w:t xml:space="preserve">both name a real gene confidently — but is biologically incorrect,</w:t>
      </w:r>
      <w:r>
        <w:t xml:space="preserve"> </w:t>
      </w:r>
      <w:r>
        <w:t xml:space="preserve">illustrating that format-level heuristics (does the reasoning cite</w:t>
      </w:r>
      <w:r>
        <w:t xml:space="preserve"> </w:t>
      </w:r>
      <w:r>
        <w:t xml:space="preserve">genes?) cannot substitute for actual biological verification when</w:t>
      </w:r>
      <w:r>
        <w:t xml:space="preserve"> </w:t>
      </w:r>
      <w:r>
        <w:t xml:space="preserve">judging LLM-generated justifications.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iscussion"/>
    <w:p>
      <w:pPr>
        <w:pStyle w:val="Heading2"/>
      </w:pPr>
      <w:r>
        <w:t xml:space="preserve">5. Discussion</w:t>
      </w:r>
    </w:p>
    <w:p>
      <w:pPr>
        <w:pStyle w:val="FirstParagraph"/>
      </w:pPr>
      <w:r>
        <w:t xml:space="preserve">Two distinct, model-dependent failure mechanisms explain why</w:t>
      </w:r>
      <w:r>
        <w:t xml:space="preserve"> </w:t>
      </w:r>
      <w:r>
        <w:t xml:space="preserve">self-routing does not yet provide reliable value on this task. In the</w:t>
      </w:r>
      <w:r>
        <w:t xml:space="preserve"> </w:t>
      </w:r>
      <w:r>
        <w:t xml:space="preserve">blind setting, the failure is</w:t>
      </w:r>
      <w:r>
        <w:t xml:space="preserve"> </w:t>
      </w:r>
      <w:r>
        <w:rPr>
          <w:iCs/>
          <w:i/>
        </w:rPr>
        <w:t xml:space="preserve">universal but partial</w:t>
      </w:r>
      <w:r>
        <w:t xml:space="preserve">: every model</w:t>
      </w:r>
      <w:r>
        <w:t xml:space="preserve"> </w:t>
      </w:r>
      <w:r>
        <w:t xml:space="preserve">tested has some real, measurable insight into its own reliability</w:t>
      </w:r>
      <w:r>
        <w:t xml:space="preserve"> </w:t>
      </w:r>
      <w:r>
        <w:t xml:space="preserve">(positive Delta_route in every case), but this signal is too weak</w:t>
      </w:r>
      <w:r>
        <w:t xml:space="preserve"> </w:t>
      </w:r>
      <w:r>
        <w:t xml:space="preserve">relative to a high base error rate on self-generated answers, so</w:t>
      </w:r>
      <w:r>
        <w:t xml:space="preserve"> </w:t>
      </w:r>
      <w:r>
        <w:t xml:space="preserve">routing more often than warranted erases the benefit. In the informed</w:t>
      </w:r>
      <w:r>
        <w:t xml:space="preserve"> </w:t>
      </w:r>
      <w:r>
        <w:t xml:space="preserve">setting, the failure is</w:t>
      </w:r>
      <w:r>
        <w:t xml:space="preserve"> </w:t>
      </w:r>
      <w:r>
        <w:rPr>
          <w:iCs/>
          <w:i/>
        </w:rPr>
        <w:t xml:space="preserve">model-dependent and structurally different</w:t>
      </w:r>
      <w:r>
        <w:t xml:space="preserve">:</w:t>
      </w:r>
      <w:r>
        <w:t xml:space="preserve"> </w:t>
      </w:r>
      <w:r>
        <w:t xml:space="preserve">the largest model collapses into confabulated independence, while</w:t>
      </w:r>
      <w:r>
        <w:t xml:space="preserve"> </w:t>
      </w:r>
      <w:r>
        <w:t xml:space="preserve">smaller models retain partial genuine judgment.</w:t>
      </w:r>
    </w:p>
    <w:p>
      <w:pPr>
        <w:pStyle w:val="BodyText"/>
      </w:pPr>
      <w:r>
        <w:t xml:space="preserve">This second finding is the more novel and more concerning one from a</w:t>
      </w:r>
      <w:r>
        <w:t xml:space="preserve"> </w:t>
      </w:r>
      <w:r>
        <w:t xml:space="preserve">systems-design perspective:</w:t>
      </w:r>
      <w:r>
        <w:t xml:space="preserve"> </w:t>
      </w:r>
      <w:r>
        <w:rPr>
          <w:bCs/>
          <w:b/>
        </w:rPr>
        <w:t xml:space="preserve">it suggests that giving a larger,</w:t>
      </w:r>
      <w:r>
        <w:rPr>
          <w:bCs/>
          <w:b/>
        </w:rPr>
        <w:t xml:space="preserve"> </w:t>
      </w:r>
      <w:r>
        <w:rPr>
          <w:bCs/>
          <w:b/>
        </w:rPr>
        <w:t xml:space="preserve">nominally more capable model a reference answer to consider can make</w:t>
      </w:r>
      <w:r>
        <w:rPr>
          <w:bCs/>
          <w:b/>
        </w:rPr>
        <w:t xml:space="preserve"> </w:t>
      </w:r>
      <w:r>
        <w:rPr>
          <w:bCs/>
          <w:b/>
        </w:rPr>
        <w:t xml:space="preserve">its judgment less independent, not more</w:t>
      </w:r>
      <w:r>
        <w:t xml:space="preserve"> </w:t>
      </w:r>
      <w:r>
        <w:t xml:space="preserve">— the opposite of what a</w:t>
      </w:r>
      <w:r>
        <w:t xml:space="preserve"> </w:t>
      </w:r>
      <w:r>
        <w:t xml:space="preserve">naive</w:t>
      </w:r>
      <w:r>
        <w:t xml:space="preserve"> </w:t>
      </w:r>
      <w:r>
        <w:t xml:space="preserve">“</w:t>
      </w:r>
      <w:r>
        <w:t xml:space="preserve">bigger model, better reasoning</w:t>
      </w:r>
      <w:r>
        <w:t xml:space="preserve">”</w:t>
      </w:r>
      <w:r>
        <w:t xml:space="preserve"> </w:t>
      </w:r>
      <w:r>
        <w:t xml:space="preserve">assumption would predict. If</w:t>
      </w:r>
      <w:r>
        <w:t xml:space="preserve"> </w:t>
      </w:r>
      <w:r>
        <w:t xml:space="preserve">this generalizes beyond this specific task and dataset, it has a</w:t>
      </w:r>
      <w:r>
        <w:t xml:space="preserve"> </w:t>
      </w:r>
      <w:r>
        <w:t xml:space="preserve">direct practical implication for anyone building LLM-based</w:t>
      </w:r>
      <w:r>
        <w:t xml:space="preserve"> </w:t>
      </w:r>
      <w:r>
        <w:t xml:space="preserve">reconciliation systems: showing a reference answer to a capable model</w:t>
      </w:r>
      <w:r>
        <w:t xml:space="preserve"> </w:t>
      </w:r>
      <w:r>
        <w:t xml:space="preserve">as a</w:t>
      </w:r>
      <w:r>
        <w:t xml:space="preserve"> </w:t>
      </w:r>
      <w:r>
        <w:t xml:space="preserve">“</w:t>
      </w:r>
      <w:r>
        <w:t xml:space="preserve">second opinion</w:t>
      </w:r>
      <w:r>
        <w:t xml:space="preserve">”</w:t>
      </w:r>
      <w:r>
        <w:t xml:space="preserve"> </w:t>
      </w:r>
      <w:r>
        <w:t xml:space="preserve">may not add the intended value, and could</w:t>
      </w:r>
      <w:r>
        <w:t xml:space="preserve"> </w:t>
      </w:r>
      <w:r>
        <w:t xml:space="preserve">instead just produce a confident restatement of that reference,</w:t>
      </w:r>
      <w:r>
        <w:t xml:space="preserve"> </w:t>
      </w:r>
      <w:r>
        <w:t xml:space="preserve">narrated as independent confirmation.</w:t>
      </w:r>
    </w:p>
    <w:p>
      <w:r>
        <w:pict>
          <v:rect style="width:0;height:1.5pt" o:hralign="center" o:hrstd="t" o:hr="t"/>
        </w:pict>
      </w:r>
    </w:p>
    <w:bookmarkEnd w:id="28"/>
    <w:bookmarkStart w:id="29" w:name="limitations"/>
    <w:p>
      <w:pPr>
        <w:pStyle w:val="Heading2"/>
      </w:pPr>
      <w:r>
        <w:t xml:space="preserve">6. Limitations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dataset, single tissue, small scale</w:t>
      </w:r>
      <w:r>
        <w:t xml:space="preserve">, identical to the</w:t>
      </w:r>
      <w:r>
        <w:t xml:space="preserve"> </w:t>
      </w:r>
      <w:r>
        <w:t xml:space="preserve">companion study’s limitations — 700 cells, one PBMC reference</w:t>
      </w:r>
      <w:r>
        <w:t xml:space="preserve"> </w:t>
      </w:r>
      <w:r>
        <w:t xml:space="preserve">dataset.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frontier-model comparison</w:t>
      </w:r>
      <w:r>
        <w:t xml:space="preserve">, a deliberate scope decision</w:t>
      </w:r>
      <w:r>
        <w:t xml:space="preserve"> </w:t>
      </w:r>
      <w:r>
        <w:t xml:space="preserve">consistent with the resource-constrained setting of this entire</w:t>
      </w:r>
      <w:r>
        <w:t xml:space="preserve"> </w:t>
      </w:r>
      <w:r>
        <w:t xml:space="preserve">line of work, not an oversight.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Single-coder qualitative pass</w:t>
      </w:r>
      <w:r>
        <w:t xml:space="preserve"> </w:t>
      </w:r>
      <w:r>
        <w:t xml:space="preserve">(Section 4.3) — no formal</w:t>
      </w:r>
      <w:r>
        <w:t xml:space="preserve"> </w:t>
      </w:r>
      <w:r>
        <w:t xml:space="preserve">inter-rater reliability was computed; a second independent coder</w:t>
      </w:r>
      <w:r>
        <w:t xml:space="preserve"> </w:t>
      </w:r>
      <w:r>
        <w:t xml:space="preserve">would strengthen this section before formal submission.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Small subgroup sample sizes</w:t>
      </w:r>
      <w:r>
        <w:t xml:space="preserve"> </w:t>
      </w:r>
      <w:r>
        <w:t xml:space="preserve">in places — e.g. llama3.2:1b’s</w:t>
      </w:r>
      <w:r>
        <w:t xml:space="preserve"> </w:t>
      </w:r>
      <w:r>
        <w:t xml:space="preserve">blind</w:t>
      </w:r>
      <w:r>
        <w:t xml:space="preserve"> </w:t>
      </w:r>
      <w:r>
        <w:t xml:space="preserve">“</w:t>
      </w:r>
      <w:r>
        <w:t xml:space="preserve">LLM correct</w:t>
      </w:r>
      <w:r>
        <w:t xml:space="preserve">”</w:t>
      </w:r>
      <w:r>
        <w:t xml:space="preserve"> </w:t>
      </w:r>
      <w:r>
        <w:t xml:space="preserve">subgroup has only n=2, making that specific</w:t>
      </w:r>
      <w:r>
        <w:t xml:space="preserve"> </w:t>
      </w:r>
      <w:r>
        <w:t xml:space="preserve">Delta_route figure (+0.632) unreliable in isolation; we report it</w:t>
      </w:r>
      <w:r>
        <w:t xml:space="preserve"> </w:t>
      </w:r>
      <w:r>
        <w:t xml:space="preserve">but do not lean on it as a standalone claim.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Confound in the anchoring finding</w:t>
      </w:r>
      <w:r>
        <w:t xml:space="preserve">: the clusters showing</w:t>
      </w:r>
      <w:r>
        <w:t xml:space="preserve"> </w:t>
      </w:r>
      <w:r>
        <w:t xml:space="preserve">confabulated independence are also the most biologically</w:t>
      </w:r>
      <w:r>
        <w:t xml:space="preserve"> </w:t>
      </w:r>
      <w:r>
        <w:t xml:space="preserve">unambiguous clusters in the dataset, so genuine independent</w:t>
      </w:r>
      <w:r>
        <w:t xml:space="preserve"> </w:t>
      </w:r>
      <w:r>
        <w:t xml:space="preserve">convergence cannot be fully excluded as a partial contributor.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formal statistical significance testing</w:t>
      </w:r>
      <w:r>
        <w:t xml:space="preserve"> </w:t>
      </w:r>
      <w:r>
        <w:t xml:space="preserve">given small per-cell</w:t>
      </w:r>
      <w:r>
        <w:t xml:space="preserve"> </w:t>
      </w:r>
      <w:r>
        <w:t xml:space="preserve">sample sizes throughout (5 trials × 8 clusters per condition);</w:t>
      </w:r>
      <w:r>
        <w:t xml:space="preserve"> </w:t>
      </w:r>
      <w:r>
        <w:t xml:space="preserve">results are reported descriptively with explicit sample sizes</w:t>
      </w:r>
      <w:r>
        <w:t xml:space="preserve"> </w:t>
      </w:r>
      <w:r>
        <w:t xml:space="preserve">rather than p-values.</w:t>
      </w:r>
    </w:p>
    <w:p>
      <w:r>
        <w:pict>
          <v:rect style="width:0;height:1.5pt" o:hralign="center" o:hrstd="t" o:hr="t"/>
        </w:pict>
      </w:r>
    </w:p>
    <w:bookmarkEnd w:id="29"/>
    <w:bookmarkStart w:id="30" w:name="future-work"/>
    <w:p>
      <w:pPr>
        <w:pStyle w:val="Heading2"/>
      </w:pPr>
      <w:r>
        <w:t xml:space="preserve">7. Future Work</w:t>
      </w:r>
    </w:p>
    <w:p>
      <w:pPr>
        <w:pStyle w:val="FirstParagraph"/>
      </w:pPr>
      <w:r>
        <w:t xml:space="preserve">Rather than expanding this study’s scope further, we name three</w:t>
      </w:r>
      <w:r>
        <w:t xml:space="preserve"> </w:t>
      </w:r>
      <w:r>
        <w:t xml:space="preserve">directions explicitly, deliberately left for future work rather than</w:t>
      </w:r>
      <w:r>
        <w:t xml:space="preserve"> </w:t>
      </w:r>
      <w:r>
        <w:t xml:space="preserve">pursued here: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Difficulty-aware evaluation</w:t>
      </w:r>
      <w:r>
        <w:t xml:space="preserve">: test whether self-routing (and</w:t>
      </w:r>
      <w:r>
        <w:t xml:space="preserve"> </w:t>
      </w:r>
      <w:r>
        <w:t xml:space="preserve">orchestration generally) provides increasing benefit as annotation</w:t>
      </w:r>
      <w:r>
        <w:t xml:space="preserve"> </w:t>
      </w:r>
      <w:r>
        <w:t xml:space="preserve">ambiguity increases — e.g. via marker-gene dropout or corruption,</w:t>
      </w:r>
      <w:r>
        <w:t xml:space="preserve"> </w:t>
      </w:r>
      <w:r>
        <w:t xml:space="preserve">or by stratifying clusters by known biological difficulty rather</w:t>
      </w:r>
      <w:r>
        <w:t xml:space="preserve"> </w:t>
      </w:r>
      <w:r>
        <w:t xml:space="preserve">than treating all clusters as equally hard.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Agent diversity and correlated errors</w:t>
      </w:r>
      <w:r>
        <w:t xml:space="preserve">: determine whether</w:t>
      </w:r>
      <w:r>
        <w:t xml:space="preserve"> </w:t>
      </w:r>
      <w:r>
        <w:t xml:space="preserve">multiple LLM specialists (same model, different prompts; or</w:t>
      </w:r>
      <w:r>
        <w:t xml:space="preserve"> </w:t>
      </w:r>
      <w:r>
        <w:t xml:space="preserve">different model families) provide genuinely independent evidence,</w:t>
      </w:r>
      <w:r>
        <w:t xml:space="preserve"> </w:t>
      </w:r>
      <w:r>
        <w:t xml:space="preserve">or reproduce correlated errors from shared training biases —</w:t>
      </w:r>
      <w:r>
        <w:t xml:space="preserve"> </w:t>
      </w:r>
      <w:r>
        <w:t xml:space="preserve">directly relevant to whether</w:t>
      </w:r>
      <w:r>
        <w:t xml:space="preserve"> </w:t>
      </w:r>
      <w:r>
        <w:t xml:space="preserve">“</w:t>
      </w:r>
      <w:r>
        <w:t xml:space="preserve">more agents</w:t>
      </w:r>
      <w:r>
        <w:t xml:space="preserve">”</w:t>
      </w:r>
      <w:r>
        <w:t xml:space="preserve"> </w:t>
      </w:r>
      <w:r>
        <w:t xml:space="preserve">would help beyond what</w:t>
      </w:r>
      <w:r>
        <w:t xml:space="preserve"> </w:t>
      </w:r>
      <w:r>
        <w:t xml:space="preserve">this and the companion study tested.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Direct anchoring test</w:t>
      </w:r>
      <w:r>
        <w:t xml:space="preserve">: deliberately show the informed variant</w:t>
      </w:r>
      <w:r>
        <w:t xml:space="preserve"> </w:t>
      </w:r>
      <w:r>
        <w:t xml:space="preserve">an</w:t>
      </w:r>
      <w:r>
        <w:t xml:space="preserve"> </w:t>
      </w:r>
      <w:r>
        <w:rPr>
          <w:iCs/>
          <w:i/>
        </w:rPr>
        <w:t xml:space="preserve">incorrect</w:t>
      </w:r>
      <w:r>
        <w:t xml:space="preserve"> </w:t>
      </w:r>
      <w:r>
        <w:t xml:space="preserve">classical label and measure whether llama3.2:3b</w:t>
      </w:r>
      <w:r>
        <w:t xml:space="preserve"> </w:t>
      </w:r>
      <w:r>
        <w:t xml:space="preserve">still reproduces it — a small, targeted experiment that would</w:t>
      </w:r>
      <w:r>
        <w:t xml:space="preserve"> </w:t>
      </w:r>
      <w:r>
        <w:t xml:space="preserve">upgrade the confabulated-independence finding from strongly</w:t>
      </w:r>
      <w:r>
        <w:t xml:space="preserve"> </w:t>
      </w:r>
      <w:r>
        <w:t xml:space="preserve">suggestive to directly demonstrated causally, without requiring</w:t>
      </w:r>
      <w:r>
        <w:t xml:space="preserve"> </w:t>
      </w:r>
      <w:r>
        <w:t xml:space="preserve">the larger architectural changes explored in early brainstorming</w:t>
      </w:r>
      <w:r>
        <w:t xml:space="preserve"> </w:t>
      </w:r>
      <w:r>
        <w:t xml:space="preserve">for this line of work.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Small, free, locally-run LLMs show a small amount of genuine insight</w:t>
      </w:r>
      <w:r>
        <w:t xml:space="preserve"> </w:t>
      </w:r>
      <w:r>
        <w:t xml:space="preserve">into their own reliability, but this signal is consistently too weak</w:t>
      </w:r>
      <w:r>
        <w:t xml:space="preserve"> </w:t>
      </w:r>
      <w:r>
        <w:t xml:space="preserve">to produce net value over simply deferring to a free classical</w:t>
      </w:r>
      <w:r>
        <w:t xml:space="preserve"> </w:t>
      </w:r>
      <w:r>
        <w:t xml:space="preserve">baseline. When given a reference answer to consider, this picture</w:t>
      </w:r>
      <w:r>
        <w:t xml:space="preserve"> </w:t>
      </w:r>
      <w:r>
        <w:t xml:space="preserve">becomes more specific and more concerning: the largest model tested</w:t>
      </w:r>
      <w:r>
        <w:t xml:space="preserve"> </w:t>
      </w:r>
      <w:r>
        <w:t xml:space="preserve">collapses into a traceable pattern we term confabulated independence —</w:t>
      </w:r>
      <w:r>
        <w:t xml:space="preserve"> </w:t>
      </w:r>
      <w:r>
        <w:t xml:space="preserve">narrating independent judgment while exactly reproducing the shown</w:t>
      </w:r>
      <w:r>
        <w:t xml:space="preserve"> </w:t>
      </w:r>
      <w:r>
        <w:t xml:space="preserve">answer — while smaller models retain more genuine independent</w:t>
      </w:r>
      <w:r>
        <w:t xml:space="preserve"> </w:t>
      </w:r>
      <w:r>
        <w:t xml:space="preserve">judgment, inverting the naive expectation that capability scales with</w:t>
      </w:r>
      <w:r>
        <w:t xml:space="preserve"> </w:t>
      </w:r>
      <w:r>
        <w:t xml:space="preserve">robustness to anchoring. Alongside a corrected methodological lesson</w:t>
      </w:r>
      <w:r>
        <w:t xml:space="preserve"> </w:t>
      </w:r>
      <w:r>
        <w:t xml:space="preserve">about parser robustness in evaluating weaker models, this study extends</w:t>
      </w:r>
      <w:r>
        <w:t xml:space="preserve"> </w:t>
      </w:r>
      <w:r>
        <w:t xml:space="preserve">our companion work’s central finding — that reconciliation</w:t>
      </w:r>
      <w:r>
        <w:t xml:space="preserve"> </w:t>
      </w:r>
      <w:r>
        <w:rPr>
          <w:iCs/>
          <w:i/>
        </w:rPr>
        <w:t xml:space="preserve">mechanism</w:t>
      </w:r>
      <w:r>
        <w:t xml:space="preserve"> </w:t>
      </w:r>
      <w:r>
        <w:t xml:space="preserve">matters more than model size or agent count — to the harder, more</w:t>
      </w:r>
      <w:r>
        <w:t xml:space="preserve"> </w:t>
      </w:r>
      <w:r>
        <w:t xml:space="preserve">basic question of whether a model can be trusted to choose its own</w:t>
      </w:r>
      <w:r>
        <w:t xml:space="preserve"> </w:t>
      </w:r>
      <w:r>
        <w:t xml:space="preserve">role in that mechanism at all.</w:t>
      </w:r>
    </w:p>
    <w:p>
      <w:r>
        <w:pict>
          <v:rect style="width:0;height:1.5pt" o:hralign="center" o:hrstd="t" o:hr="t"/>
        </w:pict>
      </w:r>
    </w:p>
    <w:bookmarkEnd w:id="31"/>
    <w:bookmarkStart w:id="32" w:name="reproducibility-statement"/>
    <w:p>
      <w:pPr>
        <w:pStyle w:val="Heading2"/>
      </w:pPr>
      <w:r>
        <w:t xml:space="preserve">Reproducibility Statement</w:t>
      </w:r>
    </w:p>
    <w:p>
      <w:pPr>
        <w:pStyle w:val="FirstParagraph"/>
      </w:pPr>
      <w:r>
        <w:t xml:space="preserve">All code, the design document (including the pre-registered hypothesis</w:t>
      </w:r>
      <w:r>
        <w:t xml:space="preserve"> </w:t>
      </w:r>
      <w:r>
        <w:t xml:space="preserve">table filled in with actual outcomes), the qualitative coding pass, and</w:t>
      </w:r>
      <w:r>
        <w:t xml:space="preserve"> </w:t>
      </w:r>
      <w:r>
        <w:t xml:space="preserve">a full results log are available at</w:t>
      </w:r>
      <w:r>
        <w:t xml:space="preserve"> </w:t>
      </w:r>
      <w:r>
        <w:t xml:space="preserve">[github.com/sikkibist/sc-agent-orchestration]. Every experiment is</w:t>
      </w:r>
      <w:r>
        <w:t xml:space="preserve"> </w:t>
      </w:r>
      <w:r>
        <w:t xml:space="preserve">runnable at zero monetary cost on consumer hardware using open-weight</w:t>
      </w:r>
      <w:r>
        <w:t xml:space="preserve"> </w:t>
      </w:r>
      <w:r>
        <w:t xml:space="preserve">models served locally via Ollama.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Cs/>
          <w:i/>
        </w:rPr>
        <w:t xml:space="preserve">(Reusing the verified reference list from the companion paper, since</w:t>
      </w:r>
      <w:r>
        <w:rPr>
          <w:iCs/>
          <w:i/>
        </w:rPr>
        <w:t xml:space="preserve"> </w:t>
      </w:r>
      <w:r>
        <w:rPr>
          <w:iCs/>
          <w:i/>
        </w:rPr>
        <w:t xml:space="preserve">this study shares its dataset and infrastructure. See that paper’s</w:t>
      </w:r>
      <w:r>
        <w:rPr>
          <w:iCs/>
          <w:i/>
        </w:rPr>
        <w:t xml:space="preserve"> </w:t>
      </w:r>
      <w:r>
        <w:rPr>
          <w:iCs/>
          <w:i/>
        </w:rPr>
        <w:t xml:space="preserve">reference list for full details on: agentic AI survey papers,</w:t>
      </w:r>
      <w:r>
        <w:rPr>
          <w:iCs/>
          <w:i/>
        </w:rPr>
        <w:t xml:space="preserve"> </w:t>
      </w:r>
      <w:r>
        <w:rPr>
          <w:iCs/>
          <w:i/>
        </w:rPr>
        <w:t xml:space="preserve">CellAgent, BioMaster, Biomni, Zheng et al. 2017 [PBMC68k dataset],</w:t>
      </w:r>
      <w:r>
        <w:rPr>
          <w:iCs/>
          <w:i/>
        </w:rPr>
        <w:t xml:space="preserve"> </w:t>
      </w:r>
      <w:r>
        <w:rPr>
          <w:iCs/>
          <w:i/>
        </w:rPr>
        <w:t xml:space="preserve">Wolf et al. 2018 [Scanpy], Traag et al. 2019 [Leiden]. Additional</w:t>
      </w:r>
      <w:r>
        <w:rPr>
          <w:iCs/>
          <w:i/>
        </w:rPr>
        <w:t xml:space="preserve"> </w:t>
      </w:r>
      <w:r>
        <w:rPr>
          <w:iCs/>
          <w:i/>
        </w:rPr>
        <w:t xml:space="preserve">citations to the selective-prediction/calibration literature to be</w:t>
      </w:r>
      <w:r>
        <w:rPr>
          <w:iCs/>
          <w:i/>
        </w:rPr>
        <w:t xml:space="preserve"> </w:t>
      </w:r>
      <w:r>
        <w:rPr>
          <w:iCs/>
          <w:i/>
        </w:rPr>
        <w:t xml:space="preserve">added and independently verified before formal submission.)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2026-08-11T09:00:03Z</dcterms:created>
  <dcterms:modified xsi:type="dcterms:W3CDTF">2026-08-11T09:00:03Z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