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Xf6b2ec25d46488646d141f9a24fe947d221120e"/>
    <w:p>
      <w:pPr>
        <w:pStyle w:val="Heading1"/>
      </w:pPr>
      <w:r>
        <w:t xml:space="preserve">When Does Orchestration Help? An Empirical Study of LLM Agent Architectures for Single-Cell RNA-seq Cell-Type Annotation on Free, Local Models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Agentic AI systems for bioinformatics are increasingly common, but nearly</w:t>
      </w:r>
      <w:r>
        <w:t xml:space="preserve"> </w:t>
      </w:r>
      <w:r>
        <w:t xml:space="preserve">all published work evaluates them using frontier-tier models accessed via</w:t>
      </w:r>
      <w:r>
        <w:t xml:space="preserve"> </w:t>
      </w:r>
      <w:r>
        <w:t xml:space="preserve">paid APIs. It remains unclear whether orchestration — decomposing a task</w:t>
      </w:r>
      <w:r>
        <w:t xml:space="preserve"> </w:t>
      </w:r>
      <w:r>
        <w:t xml:space="preserve">across specialist components and reconciling their outputs — actually</w:t>
      </w:r>
      <w:r>
        <w:t xml:space="preserve"> </w:t>
      </w:r>
      <w:r>
        <w:t xml:space="preserve">helps when the underlying language model is small and runs for free on</w:t>
      </w:r>
      <w:r>
        <w:t xml:space="preserve"> </w:t>
      </w:r>
      <w:r>
        <w:t xml:space="preserve">consumer hardware. We study this question directly on a concrete task:</w:t>
      </w:r>
      <w:r>
        <w:t xml:space="preserve"> </w:t>
      </w:r>
      <w:r>
        <w:t xml:space="preserve">cell-type annotation from single-cell RNA-seq marker genes, evaluated</w:t>
      </w:r>
      <w:r>
        <w:t xml:space="preserve"> </w:t>
      </w:r>
      <w:r>
        <w:t xml:space="preserve">against genuine FACS-sorted ground truth. We compare five conditions — a</w:t>
      </w:r>
      <w:r>
        <w:t xml:space="preserve"> </w:t>
      </w:r>
      <w:r>
        <w:t xml:space="preserve">deterministic classical baseline, a single LLM call, a single LLM with a</w:t>
      </w:r>
      <w:r>
        <w:t xml:space="preserve"> </w:t>
      </w:r>
      <w:r>
        <w:t xml:space="preserve">self-correction loop, and two orchestrator designs (constrained-choice</w:t>
      </w:r>
      <w:r>
        <w:t xml:space="preserve"> </w:t>
      </w:r>
      <w:r>
        <w:t xml:space="preserve">arbitration and confidence-weighted tie-break) — across three small</w:t>
      </w:r>
      <w:r>
        <w:t xml:space="preserve"> </w:t>
      </w:r>
      <w:r>
        <w:t xml:space="preserve">open-weight models (3B, 1.5B, and 1B parameters) running entirely locally</w:t>
      </w:r>
      <w:r>
        <w:t xml:space="preserve"> </w:t>
      </w:r>
      <w:r>
        <w:t xml:space="preserve">via Ollama on an 8GB-RAM laptop, at zero monetary cost. We find that (1)</w:t>
      </w:r>
      <w:r>
        <w:t xml:space="preserve"> </w:t>
      </w:r>
      <w:r>
        <w:t xml:space="preserve">naive single-shot LLM annotation badly underperforms a free classical</w:t>
      </w:r>
      <w:r>
        <w:t xml:space="preserve"> </w:t>
      </w:r>
      <w:r>
        <w:t xml:space="preserve">marker-scoring method, with the dominant failure mode being output-format</w:t>
      </w:r>
      <w:r>
        <w:t xml:space="preserve"> </w:t>
      </w:r>
      <w:r>
        <w:t xml:space="preserve">non-compliance rather than a biological misunderstanding; (2)</w:t>
      </w:r>
      <w:r>
        <w:t xml:space="preserve"> </w:t>
      </w:r>
      <w:r>
        <w:t xml:space="preserve">orchestration substantially closes this gap but does not robustly exceed</w:t>
      </w:r>
      <w:r>
        <w:t xml:space="preserve"> </w:t>
      </w:r>
      <w:r>
        <w:t xml:space="preserve">the classical baseline on average; and (3) two concrete implementation</w:t>
      </w:r>
      <w:r>
        <w:t xml:space="preserve"> </w:t>
      </w:r>
      <w:r>
        <w:t xml:space="preserve">bugs, found only through empirical testing, generalize well beyond this</w:t>
      </w:r>
      <w:r>
        <w:t xml:space="preserve"> </w:t>
      </w:r>
      <w:r>
        <w:t xml:space="preserve">task — a label-vocabulary mismatch that silently corrupts exact-match</w:t>
      </w:r>
      <w:r>
        <w:t xml:space="preserve"> </w:t>
      </w:r>
      <w:r>
        <w:t xml:space="preserve">scoring, and an evaluator that can</w:t>
      </w:r>
      <w:r>
        <w:t xml:space="preserve"> </w:t>
      </w:r>
      <w:r>
        <w:t xml:space="preserve">“</w:t>
      </w:r>
      <w:r>
        <w:t xml:space="preserve">validly</w:t>
      </w:r>
      <w:r>
        <w:t xml:space="preserve">”</w:t>
      </w:r>
      <w:r>
        <w:t xml:space="preserve"> </w:t>
      </w:r>
      <w:r>
        <w:t xml:space="preserve">accept an internally</w:t>
      </w:r>
      <w:r>
        <w:t xml:space="preserve"> </w:t>
      </w:r>
      <w:r>
        <w:t xml:space="preserve">consistent but factually wrong answer. Our best single result (0.636</w:t>
      </w:r>
      <w:r>
        <w:t xml:space="preserve"> </w:t>
      </w:r>
      <w:r>
        <w:t xml:space="preserve">accuracy, exceeding the classical baseline’s 0.576) comes from a</w:t>
      </w:r>
      <w:r>
        <w:t xml:space="preserve"> </w:t>
      </w:r>
      <w:r>
        <w:t xml:space="preserve">confidence-weighted orchestrator that also, in a different trial, shows a</w:t>
      </w:r>
      <w:r>
        <w:t xml:space="preserve"> </w:t>
      </w:r>
      <w:r>
        <w:t xml:space="preserve">clear failure caused by miscalibrated LLM self-reported confidence. We</w:t>
      </w:r>
      <w:r>
        <w:t xml:space="preserve"> </w:t>
      </w:r>
      <w:r>
        <w:t xml:space="preserve">argue that reconciliation</w:t>
      </w:r>
      <w:r>
        <w:t xml:space="preserve"> </w:t>
      </w:r>
      <w:r>
        <w:rPr>
          <w:iCs/>
          <w:i/>
        </w:rPr>
        <w:t xml:space="preserve">mechanism</w:t>
      </w:r>
      <w:r>
        <w:t xml:space="preserve"> </w:t>
      </w:r>
      <w:r>
        <w:t xml:space="preserve">— not model size or agent count —</w:t>
      </w:r>
      <w:r>
        <w:t xml:space="preserve"> </w:t>
      </w:r>
      <w:r>
        <w:t xml:space="preserve">is the primary lever available to small, resource-constrained agent</w:t>
      </w:r>
      <w:r>
        <w:t xml:space="preserve"> </w:t>
      </w:r>
      <w:r>
        <w:t xml:space="preserve">systems, and release our full pipeline, evaluation protocol, and results</w:t>
      </w:r>
      <w:r>
        <w:t xml:space="preserve"> </w:t>
      </w:r>
      <w:r>
        <w:t xml:space="preserve">log for reproducibility.</w:t>
      </w:r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Large language model agents are being applied across bioinformatics at a</w:t>
      </w:r>
      <w:r>
        <w:t xml:space="preserve"> </w:t>
      </w:r>
      <w:r>
        <w:t xml:space="preserve">rapid pace, from single-cell analysis pipelines to gene-set interpretation</w:t>
      </w:r>
      <w:r>
        <w:t xml:space="preserve"> </w:t>
      </w:r>
      <w:r>
        <w:t xml:space="preserve">and experimental design. Recent surveys count well over a hundred such</w:t>
      </w:r>
      <w:r>
        <w:t xml:space="preserve"> </w:t>
      </w:r>
      <w:r>
        <w:t xml:space="preserve">systems published in a two-year window, spanning genomics, proteomics,</w:t>
      </w:r>
      <w:r>
        <w:t xml:space="preserve"> </w:t>
      </w:r>
      <w:r>
        <w:t xml:space="preserve">and clinical applications. Representative systems such as CellAgent and</w:t>
      </w:r>
      <w:r>
        <w:t xml:space="preserve"> </w:t>
      </w:r>
      <w:r>
        <w:t xml:space="preserve">BioMaster automate multi-step single-cell RNA-seq workflows using</w:t>
      </w:r>
      <w:r>
        <w:t xml:space="preserve"> </w:t>
      </w:r>
      <w:r>
        <w:t xml:space="preserve">planner–executor–evaluator architectures, while general-purpose systems</w:t>
      </w:r>
      <w:r>
        <w:t xml:space="preserve"> </w:t>
      </w:r>
      <w:r>
        <w:t xml:space="preserve">like Biomni integrate retrieval-augmented planning with code execution</w:t>
      </w:r>
      <w:r>
        <w:t xml:space="preserve"> </w:t>
      </w:r>
      <w:r>
        <w:t xml:space="preserve">across a broad range of biomedical tasks.</w:t>
      </w:r>
    </w:p>
    <w:p>
      <w:pPr>
        <w:pStyle w:val="BodyText"/>
      </w:pPr>
      <w:r>
        <w:t xml:space="preserve">Almost all of this work shares an implicit assumption: that the</w:t>
      </w:r>
      <w:r>
        <w:t xml:space="preserve"> </w:t>
      </w:r>
      <w:r>
        <w:t xml:space="preserve">underlying language model is a frontier-tier system accessed through a</w:t>
      </w:r>
      <w:r>
        <w:t xml:space="preserve"> </w:t>
      </w:r>
      <w:r>
        <w:t xml:space="preserve">paid API. This is a reasonable assumption for well-funded labs, but it</w:t>
      </w:r>
      <w:r>
        <w:t xml:space="preserve"> </w:t>
      </w:r>
      <w:r>
        <w:t xml:space="preserve">leaves an open question for the much larger population of students,</w:t>
      </w:r>
      <w:r>
        <w:t xml:space="preserve"> </w:t>
      </w:r>
      <w:r>
        <w:t xml:space="preserve">independent researchers, and resource-constrained groups:</w:t>
      </w:r>
      <w:r>
        <w:t xml:space="preserve"> </w:t>
      </w:r>
      <w:r>
        <w:rPr>
          <w:bCs/>
          <w:b/>
        </w:rPr>
        <w:t xml:space="preserve">does</w:t>
      </w:r>
      <w:r>
        <w:rPr>
          <w:bCs/>
          <w:b/>
        </w:rPr>
        <w:t xml:space="preserve"> </w:t>
      </w:r>
      <w:r>
        <w:rPr>
          <w:bCs/>
          <w:b/>
        </w:rPr>
        <w:t xml:space="preserve">orchestration — the core architectural idea behind agentic AI — actually</w:t>
      </w:r>
      <w:r>
        <w:rPr>
          <w:bCs/>
          <w:b/>
        </w:rPr>
        <w:t xml:space="preserve"> </w:t>
      </w:r>
      <w:r>
        <w:rPr>
          <w:bCs/>
          <w:b/>
        </w:rPr>
        <w:t xml:space="preserve">help when the model itself is small, free, and running locally?</w:t>
      </w:r>
      <w:r>
        <w:t xml:space="preserve"> </w:t>
      </w:r>
      <w:r>
        <w:t xml:space="preserve">If the</w:t>
      </w:r>
      <w:r>
        <w:t xml:space="preserve"> </w:t>
      </w:r>
      <w:r>
        <w:t xml:space="preserve">benefits of decomposition and multi-agent reconciliation depend on the</w:t>
      </w:r>
      <w:r>
        <w:t xml:space="preserve"> </w:t>
      </w:r>
      <w:r>
        <w:t xml:space="preserve">underlying model already being highly capable, then orchestration may be</w:t>
      </w:r>
      <w:r>
        <w:t xml:space="preserve"> </w:t>
      </w:r>
      <w:r>
        <w:t xml:space="preserve">far less useful in exactly the resource-constrained settings where it</w:t>
      </w:r>
      <w:r>
        <w:t xml:space="preserve"> </w:t>
      </w:r>
      <w:r>
        <w:t xml:space="preserve">would be most valuable.</w:t>
      </w:r>
    </w:p>
    <w:p>
      <w:pPr>
        <w:pStyle w:val="BodyText"/>
      </w:pPr>
      <w:r>
        <w:t xml:space="preserve">We investigate this question directly, using a concrete, well-defined</w:t>
      </w:r>
      <w:r>
        <w:t xml:space="preserve"> </w:t>
      </w:r>
      <w:r>
        <w:t xml:space="preserve">bioinformatics task — cell-type annotation of single-cell RNA-seq</w:t>
      </w:r>
      <w:r>
        <w:t xml:space="preserve"> </w:t>
      </w:r>
      <w:r>
        <w:t xml:space="preserve">clusters from their marker genes — evaluated against genuine,</w:t>
      </w:r>
      <w:r>
        <w:t xml:space="preserve"> </w:t>
      </w:r>
      <w:r>
        <w:t xml:space="preserve">independently-verified ground truth. We deliberately constrain ourselves</w:t>
      </w:r>
      <w:r>
        <w:t xml:space="preserve"> </w:t>
      </w:r>
      <w:r>
        <w:t xml:space="preserve">throughout to zero monetary cost: every experiment in this paper runs on</w:t>
      </w:r>
      <w:r>
        <w:t xml:space="preserve"> </w:t>
      </w:r>
      <w:r>
        <w:t xml:space="preserve">a consumer laptop with 8GB of RAM, using open-weight models served</w:t>
      </w:r>
      <w:r>
        <w:t xml:space="preserve"> </w:t>
      </w:r>
      <w:r>
        <w:t xml:space="preserve">locally via Ollama, with no API keys and no cloud compute.</w:t>
      </w:r>
    </w:p>
    <w:p>
      <w:pPr>
        <w:pStyle w:val="BodyText"/>
      </w:pPr>
      <w:r>
        <w:t xml:space="preserve">Our contributions are:</w:t>
      </w:r>
    </w:p>
    <w:p>
      <w:pPr>
        <w:numPr>
          <w:ilvl w:val="0"/>
          <w:numId w:val="1001"/>
        </w:numPr>
        <w:pStyle w:val="Compact"/>
      </w:pPr>
      <w:r>
        <w:t xml:space="preserve">A systematic comparison of five annotation strategies — a</w:t>
      </w:r>
      <w:r>
        <w:t xml:space="preserve"> </w:t>
      </w:r>
      <w:r>
        <w:t xml:space="preserve">deterministic classical baseline, a single LLM call, a single LLM with</w:t>
      </w:r>
      <w:r>
        <w:t xml:space="preserve"> </w:t>
      </w:r>
      <w:r>
        <w:t xml:space="preserve">a self-correction loop, and two orchestrator designs — evaluated</w:t>
      </w:r>
      <w:r>
        <w:t xml:space="preserve"> </w:t>
      </w:r>
      <w:r>
        <w:t xml:space="preserve">against real FACS-sorted ground truth.</w:t>
      </w:r>
    </w:p>
    <w:p>
      <w:pPr>
        <w:numPr>
          <w:ilvl w:val="0"/>
          <w:numId w:val="1001"/>
        </w:numPr>
        <w:pStyle w:val="Compact"/>
      </w:pPr>
      <w:r>
        <w:t xml:space="preserve">A model-size sweep across three small open-weight models (3B, 1.5B,</w:t>
      </w:r>
      <w:r>
        <w:t xml:space="preserve"> </w:t>
      </w:r>
      <w:r>
        <w:t xml:space="preserve">and 1B parameters), revealing that naive comparisons across model size</w:t>
      </w:r>
      <w:r>
        <w:t xml:space="preserve"> </w:t>
      </w:r>
      <w:r>
        <w:t xml:space="preserve">can be misleading when a system’s fallback logic can produce</w:t>
      </w:r>
      <w:r>
        <w:t xml:space="preserve"> </w:t>
      </w:r>
      <w:r>
        <w:t xml:space="preserve">degenerate, uninformative</w:t>
      </w:r>
      <w:r>
        <w:t xml:space="preserve"> </w:t>
      </w:r>
      <w:r>
        <w:t xml:space="preserve">“</w:t>
      </w:r>
      <w:r>
        <w:t xml:space="preserve">successes.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Two concrete implementation bugs, discovered empirically rather than</w:t>
      </w:r>
      <w:r>
        <w:t xml:space="preserve"> </w:t>
      </w:r>
      <w:r>
        <w:t xml:space="preserve">anticipated in advance, both of which generalize as design principles</w:t>
      </w:r>
      <w:r>
        <w:t xml:space="preserve"> </w:t>
      </w:r>
      <w:r>
        <w:t xml:space="preserve">for any LLM-agent evaluation: (a) semantic label-vocabulary drift can</w:t>
      </w:r>
      <w:r>
        <w:t xml:space="preserve"> </w:t>
      </w:r>
      <w:r>
        <w:t xml:space="preserve">silently corrupt exact-match scoring even when a model’s underlying</w:t>
      </w:r>
      <w:r>
        <w:t xml:space="preserve"> </w:t>
      </w:r>
      <w:r>
        <w:t xml:space="preserve">reasoning is largely correct, and (b) an evaluator that only checks</w:t>
      </w:r>
      <w:r>
        <w:t xml:space="preserve"> </w:t>
      </w:r>
      <w:r>
        <w:t xml:space="preserve">internal consistency between two options — rather than validating</w:t>
      </w:r>
      <w:r>
        <w:t xml:space="preserve"> </w:t>
      </w:r>
      <w:r>
        <w:t xml:space="preserve">against the true output space — can</w:t>
      </w:r>
      <w:r>
        <w:t xml:space="preserve"> </w:t>
      </w:r>
      <w:r>
        <w:t xml:space="preserve">“</w:t>
      </w:r>
      <w:r>
        <w:t xml:space="preserve">validly</w:t>
      </w:r>
      <w:r>
        <w:t xml:space="preserve">”</w:t>
      </w:r>
      <w:r>
        <w:t xml:space="preserve"> </w:t>
      </w:r>
      <w:r>
        <w:t xml:space="preserve">accept a wrong answer.</w:t>
      </w:r>
    </w:p>
    <w:p>
      <w:pPr>
        <w:numPr>
          <w:ilvl w:val="0"/>
          <w:numId w:val="1001"/>
        </w:numPr>
        <w:pStyle w:val="Compact"/>
      </w:pPr>
      <w:r>
        <w:t xml:space="preserve">A full open-source, reproducible pipeline and results log, runnable by</w:t>
      </w:r>
      <w:r>
        <w:t xml:space="preserve"> </w:t>
      </w:r>
      <w:r>
        <w:t xml:space="preserve">anyone with a laptop and no budget.</w:t>
      </w:r>
    </w:p>
    <w:p>
      <w:r>
        <w:pict>
          <v:rect style="width:0;height:1.5pt" o:hralign="center" o:hrstd="t" o:hr="t"/>
        </w:pict>
      </w:r>
    </w:p>
    <w:bookmarkEnd w:id="21"/>
    <w:bookmarkStart w:id="22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rPr>
          <w:bCs/>
          <w:b/>
        </w:rPr>
        <w:t xml:space="preserve">Agentic AI in bioinformatics.</w:t>
      </w:r>
      <w:r>
        <w:t xml:space="preserve"> </w:t>
      </w:r>
      <w:r>
        <w:t xml:space="preserve">Recent survey work has cataloged agentic</w:t>
      </w:r>
      <w:r>
        <w:t xml:space="preserve"> </w:t>
      </w:r>
      <w:r>
        <w:t xml:space="preserve">AI systems across genomics, proteomics, spatial biology, and clinical</w:t>
      </w:r>
      <w:r>
        <w:t xml:space="preserve"> </w:t>
      </w:r>
      <w:r>
        <w:t xml:space="preserve">medicine, organizing them around common architectural patterns — most</w:t>
      </w:r>
      <w:r>
        <w:t xml:space="preserve"> </w:t>
      </w:r>
      <w:r>
        <w:t xml:space="preserve">notably planner–executor–evaluator loops and multi-agent ecosystems with</w:t>
      </w:r>
      <w:r>
        <w:t xml:space="preserve"> </w:t>
      </w:r>
      <w:r>
        <w:t xml:space="preserve">specialist and critic roles. Representative single-cell-focused systems</w:t>
      </w:r>
      <w:r>
        <w:t xml:space="preserve"> </w:t>
      </w:r>
      <w:r>
        <w:t xml:space="preserve">include CellAgent, which coordinates planner, executor, and evaluator</w:t>
      </w:r>
      <w:r>
        <w:t xml:space="preserve"> </w:t>
      </w:r>
      <w:r>
        <w:t xml:space="preserve">roles for scRNA-seq analysis, and BioMaster, which adds retrieval-</w:t>
      </w:r>
      <w:r>
        <w:t xml:space="preserve"> </w:t>
      </w:r>
      <w:r>
        <w:t xml:space="preserve">augmented planning and an explicit debugging/error-correction loop.</w:t>
      </w:r>
      <w:r>
        <w:t xml:space="preserve"> </w:t>
      </w:r>
      <w:r>
        <w:t xml:space="preserve">General-purpose biomedical agents such as Biomni integrate retrieval-</w:t>
      </w:r>
      <w:r>
        <w:t xml:space="preserve"> </w:t>
      </w:r>
      <w:r>
        <w:t xml:space="preserve">augmented reasoning with direct code execution across a broad span of</w:t>
      </w:r>
      <w:r>
        <w:t xml:space="preserve"> </w:t>
      </w:r>
      <w:r>
        <w:t xml:space="preserve">biomedical tasks, from gene prioritization to molecular cloning. Nearly</w:t>
      </w:r>
      <w:r>
        <w:t xml:space="preserve"> </w:t>
      </w:r>
      <w:r>
        <w:t xml:space="preserve">all of these systems are demonstrated using frontier-tier LLMs.</w:t>
      </w:r>
    </w:p>
    <w:p>
      <w:pPr>
        <w:pStyle w:val="BodyText"/>
      </w:pPr>
      <w:r>
        <w:rPr>
          <w:bCs/>
          <w:b/>
        </w:rPr>
        <w:t xml:space="preserve">GenoTEX and dataset scope.</w:t>
      </w:r>
      <w:r>
        <w:t xml:space="preserve"> </w:t>
      </w:r>
      <w:r>
        <w:t xml:space="preserve">We initially considered the GenoTEX</w:t>
      </w:r>
      <w:r>
        <w:t xml:space="preserve"> </w:t>
      </w:r>
      <w:r>
        <w:t xml:space="preserve">benchmark, a large, actively-maintained collection of gene-expression</w:t>
      </w:r>
      <w:r>
        <w:t xml:space="preserve"> </w:t>
      </w:r>
      <w:r>
        <w:t xml:space="preserve">analysis problems, as a candidate evaluation dataset. On inspection, its</w:t>
      </w:r>
      <w:r>
        <w:t xml:space="preserve"> </w:t>
      </w:r>
      <w:r>
        <w:t xml:space="preserve">task structure — identifying genes associated with a disease trait in</w:t>
      </w:r>
      <w:r>
        <w:t xml:space="preserve"> </w:t>
      </w:r>
      <w:r>
        <w:t xml:space="preserve">bulk cohort-level expression data via dataset selection, preprocessing,</w:t>
      </w:r>
      <w:r>
        <w:t xml:space="preserve"> </w:t>
      </w:r>
      <w:r>
        <w:t xml:space="preserve">and statistical regression — does not match single-cell clustering or</w:t>
      </w:r>
      <w:r>
        <w:t xml:space="preserve"> </w:t>
      </w:r>
      <w:r>
        <w:t xml:space="preserve">cell-type annotation. We therefore exclude it from our evaluation and</w:t>
      </w:r>
      <w:r>
        <w:t xml:space="preserve"> </w:t>
      </w:r>
      <w:r>
        <w:t xml:space="preserve">note it here only as an example of a related but structurally distinct</w:t>
      </w:r>
      <w:r>
        <w:t xml:space="preserve"> </w:t>
      </w:r>
      <w:r>
        <w:t xml:space="preserve">benchmark in the same broader space of LLM-agent bioinformatics</w:t>
      </w:r>
      <w:r>
        <w:t xml:space="preserve"> </w:t>
      </w:r>
      <w:r>
        <w:t xml:space="preserve">evaluation.</w:t>
      </w:r>
    </w:p>
    <w:p>
      <w:pPr>
        <w:pStyle w:val="BodyText"/>
      </w:pPr>
      <w:r>
        <w:rPr>
          <w:bCs/>
          <w:b/>
        </w:rPr>
        <w:t xml:space="preserve">Multi-agent orchestration patterns.</w:t>
      </w:r>
      <w:r>
        <w:t xml:space="preserve"> </w:t>
      </w:r>
      <w:r>
        <w:t xml:space="preserve">Beyond bioinformatics, hierarchical</w:t>
      </w:r>
      <w:r>
        <w:t xml:space="preserve"> </w:t>
      </w:r>
      <w:r>
        <w:t xml:space="preserve">multi-agent architectures — orchestrator/planner agents dispatching to</w:t>
      </w:r>
      <w:r>
        <w:t xml:space="preserve"> </w:t>
      </w:r>
      <w:r>
        <w:t xml:space="preserve">specialist workers, reconciled by an evaluator or critic — are a common</w:t>
      </w:r>
      <w:r>
        <w:t xml:space="preserve"> </w:t>
      </w:r>
      <w:r>
        <w:t xml:space="preserve">design pattern in general-purpose agent frameworks and have been applied</w:t>
      </w:r>
      <w:r>
        <w:t xml:space="preserve"> </w:t>
      </w:r>
      <w:r>
        <w:t xml:space="preserve">to clinical decision support with adaptive team sizing based on case</w:t>
      </w:r>
      <w:r>
        <w:t xml:space="preserve"> </w:t>
      </w:r>
      <w:r>
        <w:t xml:space="preserve">complexity. Our work is closest in spirit to this literature but narrows</w:t>
      </w:r>
      <w:r>
        <w:t xml:space="preserve"> </w:t>
      </w:r>
      <w:r>
        <w:t xml:space="preserve">the question specifically to resource-constrained, free-inference</w:t>
      </w:r>
      <w:r>
        <w:t xml:space="preserve"> </w:t>
      </w:r>
      <w:r>
        <w:t xml:space="preserve">settings, which — to our knowledge — has not been systematically studied.</w:t>
      </w:r>
    </w:p>
    <w:p>
      <w:r>
        <w:pict>
          <v:rect style="width:0;height:1.5pt" o:hralign="center" o:hrstd="t" o:hr="t"/>
        </w:pict>
      </w:r>
    </w:p>
    <w:bookmarkEnd w:id="22"/>
    <w:bookmarkStart w:id="23" w:name="task-data-and-ground-truth"/>
    <w:p>
      <w:pPr>
        <w:pStyle w:val="Heading2"/>
      </w:pPr>
      <w:r>
        <w:t xml:space="preserve">3. Task, Data, and Ground Truth</w:t>
      </w:r>
    </w:p>
    <w:p>
      <w:pPr>
        <w:pStyle w:val="FirstParagraph"/>
      </w:pPr>
      <w:r>
        <w:rPr>
          <w:bCs/>
          <w:b/>
        </w:rPr>
        <w:t xml:space="preserve">Task.</w:t>
      </w:r>
      <w:r>
        <w:t xml:space="preserve"> </w:t>
      </w:r>
      <w:r>
        <w:t xml:space="preserve">We define the task as cluster-level cell-type annotation: given</w:t>
      </w:r>
      <w:r>
        <w:t xml:space="preserve"> </w:t>
      </w:r>
      <w:r>
        <w:t xml:space="preserve">a set of Leiden clusters derived from a single-cell RNA-seq dataset and</w:t>
      </w:r>
      <w:r>
        <w:t xml:space="preserve"> </w:t>
      </w:r>
      <w:r>
        <w:t xml:space="preserve">each cluster’s top differentially-expressed marker genes, assign the most</w:t>
      </w:r>
      <w:r>
        <w:t xml:space="preserve"> </w:t>
      </w:r>
      <w:r>
        <w:t xml:space="preserve">likely cell type from a fixed candidate label set.</w:t>
      </w:r>
    </w:p>
    <w:p>
      <w:pPr>
        <w:pStyle w:val="BodyText"/>
      </w:pPr>
      <w:r>
        <w:rPr>
          <w:bCs/>
          <w:b/>
        </w:rPr>
        <w:t xml:space="preserve">Dataset.</w:t>
      </w:r>
      <w:r>
        <w:t xml:space="preserve"> </w:t>
      </w:r>
      <w:r>
        <w:t xml:space="preserve">All reported results use</w:t>
      </w:r>
      <w:r>
        <w:t xml:space="preserve"> </w:t>
      </w:r>
      <w:r>
        <w:rPr>
          <w:rStyle w:val="VerbatimChar"/>
        </w:rPr>
        <w:t xml:space="preserve">pbmc68k_reduced</w:t>
      </w:r>
      <w:r>
        <w:t xml:space="preserve">, a peripheral</w:t>
      </w:r>
      <w:r>
        <w:t xml:space="preserve"> </w:t>
      </w:r>
      <w:r>
        <w:t xml:space="preserve">blood mononuclear cell dataset bundled directly with Scanpy, derived from</w:t>
      </w:r>
      <w:r>
        <w:t xml:space="preserve"> </w:t>
      </w:r>
      <w:r>
        <w:t xml:space="preserve">Zheng et al.’s FACS-sorted PBMC reference data. Critically, this dataset</w:t>
      </w:r>
      <w:r>
        <w:t xml:space="preserve"> </w:t>
      </w:r>
      <w:r>
        <w:t xml:space="preserve">carries genuine, independently-verified ground-truth cell-type labels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bulk_labels</w:t>
      </w:r>
      <w:r>
        <w:t xml:space="preserve"> </w:t>
      </w:r>
      <w:r>
        <w:t xml:space="preserve">column) obtained via fluorescence-activated cell</w:t>
      </w:r>
      <w:r>
        <w:t xml:space="preserve"> </w:t>
      </w:r>
      <w:r>
        <w:t xml:space="preserve">sorting — not inferred computationally — across 10 real cell types and</w:t>
      </w:r>
      <w:r>
        <w:t xml:space="preserve"> </w:t>
      </w:r>
      <w:r>
        <w:t xml:space="preserve">700 cells. We deliberately avoided constructing our own reference labels</w:t>
      </w:r>
      <w:r>
        <w:t xml:space="preserve"> </w:t>
      </w:r>
      <w:r>
        <w:t xml:space="preserve">for evaluation; an earlier iteration of this project used a smaller,</w:t>
      </w:r>
      <w:r>
        <w:t xml:space="preserve"> </w:t>
      </w:r>
      <w:r>
        <w:t xml:space="preserve">unlabeled dataset (PBMC3k) with hand-derived reference labels for</w:t>
      </w:r>
      <w:r>
        <w:t xml:space="preserve"> </w:t>
      </w:r>
      <w:r>
        <w:t xml:space="preserve">pipeline development, but all</w:t>
      </w:r>
      <w:r>
        <w:t xml:space="preserve"> </w:t>
      </w:r>
      <w:r>
        <w:rPr>
          <w:iCs/>
          <w:i/>
        </w:rPr>
        <w:t xml:space="preserve">reported</w:t>
      </w:r>
      <w:r>
        <w:t xml:space="preserve"> </w:t>
      </w:r>
      <w:r>
        <w:t xml:space="preserve">results in this paper use only</w:t>
      </w:r>
      <w:r>
        <w:t xml:space="preserve"> </w:t>
      </w:r>
      <w:r>
        <w:t xml:space="preserve">the independently-verified</w:t>
      </w:r>
      <w:r>
        <w:t xml:space="preserve"> </w:t>
      </w:r>
      <w:r>
        <w:rPr>
          <w:rStyle w:val="VerbatimChar"/>
        </w:rPr>
        <w:t xml:space="preserve">pbmc68k_reduced</w:t>
      </w:r>
      <w:r>
        <w:t xml:space="preserve"> </w:t>
      </w:r>
      <w:r>
        <w:t xml:space="preserve">ground truth.</w:t>
      </w:r>
    </w:p>
    <w:p>
      <w:pPr>
        <w:pStyle w:val="BodyText"/>
      </w:pPr>
      <w:r>
        <w:rPr>
          <w:bCs/>
          <w:b/>
        </w:rPr>
        <w:t xml:space="preserve">Shared preprocessing.</w:t>
      </w:r>
      <w:r>
        <w:t xml:space="preserve"> </w:t>
      </w:r>
      <w:r>
        <w:t xml:space="preserve">Every condition in this study uses an identical</w:t>
      </w:r>
      <w:r>
        <w:t xml:space="preserve"> </w:t>
      </w:r>
      <w:r>
        <w:t xml:space="preserve">preprocessing and clustering pipeline, so that any performance difference</w:t>
      </w:r>
      <w:r>
        <w:t xml:space="preserve"> </w:t>
      </w:r>
      <w:r>
        <w:t xml:space="preserve">between conditions reflects the annotation method alone, not differences</w:t>
      </w:r>
      <w:r>
        <w:t xml:space="preserve"> </w:t>
      </w:r>
      <w:r>
        <w:t xml:space="preserve">in the underlying cluster structure. For</w:t>
      </w:r>
      <w:r>
        <w:t xml:space="preserve"> </w:t>
      </w:r>
      <w:r>
        <w:rPr>
          <w:rStyle w:val="VerbatimChar"/>
        </w:rPr>
        <w:t xml:space="preserve">pbmc68k_reduced</w:t>
      </w:r>
      <w:r>
        <w:t xml:space="preserve"> </w:t>
      </w:r>
      <w:r>
        <w:t xml:space="preserve">— the only</w:t>
      </w:r>
      <w:r>
        <w:t xml:space="preserve"> </w:t>
      </w:r>
      <w:r>
        <w:t xml:space="preserve">dataset behind reported results — this means: restoring the</w:t>
      </w:r>
      <w:r>
        <w:t xml:space="preserve"> </w:t>
      </w:r>
      <w:r>
        <w:t xml:space="preserve">log-normalized expression matrix already provided by Scanpy’s bundled</w:t>
      </w:r>
      <w:r>
        <w:t xml:space="preserve"> </w:t>
      </w:r>
      <w:r>
        <w:t xml:space="preserve">version of the dataset, then scaling, PCA, k-nearest-neighbors graph</w:t>
      </w:r>
      <w:r>
        <w:t xml:space="preserve"> </w:t>
      </w:r>
      <w:r>
        <w:t xml:space="preserve">construction, and Leiden clustering (resolution 0.6). We deliberately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re-run cell/gene filtering, mitochondrial-percentage filtering, or</w:t>
      </w:r>
      <w:r>
        <w:t xml:space="preserve"> </w:t>
      </w:r>
      <w:r>
        <w:t xml:space="preserve">re-normalization on this dataset, relying instead on its existing</w:t>
      </w:r>
      <w:r>
        <w:t xml:space="preserve"> </w:t>
      </w:r>
      <w:r>
        <w:t xml:space="preserve">upstream curation as a widely-used reference. For the separate PBMC3k</w:t>
      </w:r>
      <w:r>
        <w:t xml:space="preserve"> </w:t>
      </w:r>
      <w:r>
        <w:t xml:space="preserve">sanity-check dataset (used only during development, never for reported</w:t>
      </w:r>
      <w:r>
        <w:t xml:space="preserve"> </w:t>
      </w:r>
      <w:r>
        <w:t xml:space="preserve">results), the full pipeline additionally includes upstream cell/gene</w:t>
      </w:r>
      <w:r>
        <w:t xml:space="preserve"> </w:t>
      </w:r>
      <w:r>
        <w:t xml:space="preserve">filtering (≥200 genes/cell, ≥3 cells/gene), mitochondrial filtering</w:t>
      </w:r>
      <w:r>
        <w:t xml:space="preserve"> </w:t>
      </w:r>
      <w:r>
        <w:t xml:space="preserve">(&lt;20%), library-size normalization, log-transformation, and</w:t>
      </w:r>
      <w:r>
        <w:t xml:space="preserve"> </w:t>
      </w:r>
      <w:r>
        <w:t xml:space="preserve">highly-variable-gene selection (top 2000 genes) before the shared</w:t>
      </w:r>
      <w:r>
        <w:t xml:space="preserve"> </w:t>
      </w:r>
      <w:r>
        <w:t xml:space="preserve">scaling/PCA/clustering steps.</w:t>
      </w:r>
    </w:p>
    <w:p>
      <w:r>
        <w:pict>
          <v:rect style="width:0;height:1.5pt" o:hralign="center" o:hrstd="t" o:hr="t"/>
        </w:pict>
      </w:r>
    </w:p>
    <w:bookmarkEnd w:id="23"/>
    <w:bookmarkStart w:id="28" w:name="methods"/>
    <w:p>
      <w:pPr>
        <w:pStyle w:val="Heading2"/>
      </w:pPr>
      <w:r>
        <w:t xml:space="preserve">4. Methods</w:t>
      </w:r>
    </w:p>
    <w:bookmarkStart w:id="24" w:name="conditions"/>
    <w:p>
      <w:pPr>
        <w:pStyle w:val="Heading3"/>
      </w:pPr>
      <w:r>
        <w:t xml:space="preserve">4.1 Conditions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Baseline 1 (Classical).</w:t>
      </w:r>
      <w:r>
        <w:t xml:space="preserve"> </w:t>
      </w:r>
      <w:r>
        <w:t xml:space="preserve">A deterministic, LLM-free method: each</w:t>
      </w:r>
      <w:r>
        <w:t xml:space="preserve"> </w:t>
      </w:r>
      <w:r>
        <w:t xml:space="preserve">candidate cell type’s marker genes are scored per cluster via Scanpy’s</w:t>
      </w:r>
      <w:r>
        <w:t xml:space="preserve"> </w:t>
      </w:r>
      <w:r>
        <w:rPr>
          <w:rStyle w:val="VerbatimChar"/>
        </w:rPr>
        <w:t xml:space="preserve">score_genes</w:t>
      </w:r>
      <w:r>
        <w:t xml:space="preserve">, and the highest-scoring type is assigned. Free and</w:t>
      </w:r>
      <w:r>
        <w:t xml:space="preserve"> </w:t>
      </w:r>
      <w:r>
        <w:t xml:space="preserve">instantaneous.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Baseline 2 (Single LLM).</w:t>
      </w:r>
      <w:r>
        <w:t xml:space="preserve"> </w:t>
      </w:r>
      <w:r>
        <w:t xml:space="preserve">One LLM call annotates all clusters at</w:t>
      </w:r>
      <w:r>
        <w:t xml:space="preserve"> </w:t>
      </w:r>
      <w:r>
        <w:t xml:space="preserve">once, given their top marker genes and the full candidate label list.</w:t>
      </w:r>
      <w:r>
        <w:t xml:space="preserve"> </w:t>
      </w:r>
      <w:r>
        <w:t xml:space="preserve">No orchestration, no retry.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Baseline 3 (Self-loop).</w:t>
      </w:r>
      <w:r>
        <w:t xml:space="preserve"> </w:t>
      </w:r>
      <w:r>
        <w:t xml:space="preserve">The same single LLM, but given up to three</w:t>
      </w:r>
      <w:r>
        <w:t xml:space="preserve"> </w:t>
      </w:r>
      <w:r>
        <w:t xml:space="preserve">self-check passes: it reviews its own prior output against the exact</w:t>
      </w:r>
      <w:r>
        <w:t xml:space="preserve"> </w:t>
      </w:r>
      <w:r>
        <w:t xml:space="preserve">candidate label list and may revise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Orchestrator (Arbitration).</w:t>
      </w:r>
      <w:r>
        <w:t xml:space="preserve"> </w:t>
      </w:r>
      <w:r>
        <w:t xml:space="preserve">The classical and LLM specialists run</w:t>
      </w:r>
      <w:r>
        <w:t xml:space="preserve"> </w:t>
      </w:r>
      <w:r>
        <w:t xml:space="preserve">independently per cluster. A programmatic evaluator checks agreement</w:t>
      </w:r>
      <w:r>
        <w:t xml:space="preserve"> </w:t>
      </w:r>
      <w:r>
        <w:t xml:space="preserve">after normalizing the LLM’s label; disagreements trigger one batched,</w:t>
      </w:r>
      <w:r>
        <w:t xml:space="preserve"> </w:t>
      </w:r>
      <w:r>
        <w:t xml:space="preserve">constrained-choice arbitration call in which the LLM picks between</w:t>
      </w:r>
      <w:r>
        <w:t xml:space="preserve"> </w:t>
      </w:r>
      <w:r>
        <w:t xml:space="preserve">exactly the two specialists’ answers (not a full 10-way</w:t>
      </w:r>
      <w:r>
        <w:t xml:space="preserve"> </w:t>
      </w:r>
      <w:r>
        <w:t xml:space="preserve">re-classification). If arbitration fails to produce a valid pick, the</w:t>
      </w:r>
      <w:r>
        <w:t xml:space="preserve"> </w:t>
      </w:r>
      <w:r>
        <w:t xml:space="preserve">classical answer is kept.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Orchestrator (Confidence tie-break).</w:t>
      </w:r>
      <w:r>
        <w:t xml:space="preserve"> </w:t>
      </w:r>
      <w:r>
        <w:t xml:space="preserve">The same two specialists, but</w:t>
      </w:r>
      <w:r>
        <w:t xml:space="preserve"> </w:t>
      </w:r>
      <w:r>
        <w:t xml:space="preserve">reconciled without a second LLM call: classical reports a confidence</w:t>
      </w:r>
      <w:r>
        <w:t xml:space="preserve"> </w:t>
      </w:r>
      <w:r>
        <w:t xml:space="preserve">signal (the margin between its top and runner-up marker score,</w:t>
      </w:r>
      <w:r>
        <w:t xml:space="preserve"> </w:t>
      </w:r>
      <w:r>
        <w:t xml:space="preserve">available for free), and the LLM self-reports a 0–100 confidence</w:t>
      </w:r>
      <w:r>
        <w:t xml:space="preserve"> </w:t>
      </w:r>
      <w:r>
        <w:t xml:space="preserve">alongside its label in its original call. On disagreement, the LLM’s</w:t>
      </w:r>
      <w:r>
        <w:t xml:space="preserve"> </w:t>
      </w:r>
      <w:r>
        <w:t xml:space="preserve">label wins only if classical’s confidence is below the run’s own</w:t>
      </w:r>
      <w:r>
        <w:t xml:space="preserve"> </w:t>
      </w:r>
      <w:r>
        <w:t xml:space="preserve">median margin, the LLM’s confidence is ≥70, and the label is a genuine</w:t>
      </w:r>
      <w:r>
        <w:t xml:space="preserve"> </w:t>
      </w:r>
      <w:r>
        <w:t xml:space="preserve">candidate label; otherwise classical wins.</w:t>
      </w:r>
    </w:p>
    <w:bookmarkEnd w:id="24"/>
    <w:bookmarkStart w:id="25" w:name="Xc1a6d46c474d78f1e92606785bd68c3023a334c"/>
    <w:p>
      <w:pPr>
        <w:pStyle w:val="Heading3"/>
      </w:pPr>
      <w:r>
        <w:t xml:space="preserve">4.2 Evaluator design and the validity-gate principle</w:t>
      </w:r>
    </w:p>
    <w:p>
      <w:pPr>
        <w:pStyle w:val="FirstParagraph"/>
      </w:pPr>
      <w:r>
        <w:t xml:space="preserve">During development, we discovered that our first arbitration evaluator</w:t>
      </w:r>
      <w:r>
        <w:t xml:space="preserve"> </w:t>
      </w:r>
      <w:r>
        <w:t xml:space="preserve">had a real bug: it verified only that the arbitration response exactly</w:t>
      </w:r>
      <w:r>
        <w:t xml:space="preserve"> </w:t>
      </w:r>
      <w:r>
        <w:t xml:space="preserve">matched one of the two</w:t>
      </w:r>
      <w:r>
        <w:t xml:space="preserve"> </w:t>
      </w:r>
      <w:r>
        <w:rPr>
          <w:iCs/>
          <w:i/>
        </w:rPr>
        <w:t xml:space="preserve">offered</w:t>
      </w:r>
      <w:r>
        <w:t xml:space="preserve"> </w:t>
      </w:r>
      <w:r>
        <w:t xml:space="preserve">options, but never checked that the</w:t>
      </w:r>
      <w:r>
        <w:t xml:space="preserve"> </w:t>
      </w:r>
      <w:r>
        <w:t xml:space="preserve">offered LLM option was itself a genuine candidate label. When a weaker</w:t>
      </w:r>
      <w:r>
        <w:t xml:space="preserve"> </w:t>
      </w:r>
      <w:r>
        <w:t xml:space="preserve">model (qwen2.5:1.5b) invented an off-list label during the initial LLM</w:t>
      </w:r>
      <w:r>
        <w:t xml:space="preserve"> </w:t>
      </w:r>
      <w:r>
        <w:t xml:space="preserve">specialist call (e.g.,</w:t>
      </w:r>
      <w:r>
        <w:t xml:space="preserve"> </w:t>
      </w:r>
      <w:r>
        <w:t xml:space="preserve">“</w:t>
      </w:r>
      <w:r>
        <w:t xml:space="preserve">Basophils/NK Cells</w:t>
      </w:r>
      <w:r>
        <w:t xml:space="preserve">”</w:t>
      </w:r>
      <w:r>
        <w:t xml:space="preserve">), the evaluator could</w:t>
      </w:r>
      <w:r>
        <w:t xml:space="preserve"> </w:t>
      </w:r>
      <w:r>
        <w:t xml:space="preserve">“</w:t>
      </w:r>
      <w:r>
        <w:t xml:space="preserve">validly</w:t>
      </w:r>
      <w:r>
        <w:t xml:space="preserve">”</w:t>
      </w:r>
      <w:r>
        <w:t xml:space="preserve"> </w:t>
      </w:r>
      <w:r>
        <w:t xml:space="preserve">echo that garbage label back during arbitration, guaranteeing</w:t>
      </w:r>
      <w:r>
        <w:t xml:space="preserve"> </w:t>
      </w:r>
      <w:r>
        <w:t xml:space="preserve">an incorrect result for that cluster while appearing internally</w:t>
      </w:r>
      <w:r>
        <w:t xml:space="preserve"> </w:t>
      </w:r>
      <w:r>
        <w:t xml:space="preserve">consistent. We fixed this by requiring the final chosen label to be a</w:t>
      </w:r>
      <w:r>
        <w:t xml:space="preserve"> </w:t>
      </w:r>
      <w:r>
        <w:t xml:space="preserve">member of the true candidate label set, regardless of which offered</w:t>
      </w:r>
      <w:r>
        <w:t xml:space="preserve"> </w:t>
      </w:r>
      <w:r>
        <w:t xml:space="preserve">option it matched, and verified the fix against the exact failure that</w:t>
      </w:r>
      <w:r>
        <w:t xml:space="preserve"> </w:t>
      </w:r>
      <w:r>
        <w:t xml:space="preserve">exposed it. We treat this as a general principle for any LLM-agent</w:t>
      </w:r>
      <w:r>
        <w:t xml:space="preserve"> </w:t>
      </w:r>
      <w:r>
        <w:t xml:space="preserve">evaluator design:</w:t>
      </w:r>
      <w:r>
        <w:t xml:space="preserve"> </w:t>
      </w:r>
      <w:r>
        <w:rPr>
          <w:bCs/>
          <w:b/>
        </w:rPr>
        <w:t xml:space="preserve">fallback and validation logic must check against the</w:t>
      </w:r>
      <w:r>
        <w:rPr>
          <w:bCs/>
          <w:b/>
        </w:rPr>
        <w:t xml:space="preserve"> </w:t>
      </w:r>
      <w:r>
        <w:rPr>
          <w:bCs/>
          <w:b/>
        </w:rPr>
        <w:t xml:space="preserve">true output space, not merely internal agreement between two of the</w:t>
      </w:r>
      <w:r>
        <w:rPr>
          <w:bCs/>
          <w:b/>
        </w:rPr>
        <w:t xml:space="preserve"> </w:t>
      </w:r>
      <w:r>
        <w:rPr>
          <w:bCs/>
          <w:b/>
        </w:rPr>
        <w:t xml:space="preserve">system’s own components</w:t>
      </w:r>
      <w:r>
        <w:t xml:space="preserve"> </w:t>
      </w:r>
      <w:r>
        <w:t xml:space="preserve">— two components can be mutually</w:t>
      </w:r>
      <w:r>
        <w:t xml:space="preserve"> </w:t>
      </w:r>
      <w:r>
        <w:t xml:space="preserve">“</w:t>
      </w:r>
      <w:r>
        <w:t xml:space="preserve">valid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both wrong.</w:t>
      </w:r>
    </w:p>
    <w:bookmarkEnd w:id="25"/>
    <w:bookmarkStart w:id="26" w:name="metrics"/>
    <w:p>
      <w:pPr>
        <w:pStyle w:val="Heading3"/>
      </w:pPr>
      <w:r>
        <w:t xml:space="preserve">4.3 Metrics</w:t>
      </w:r>
    </w:p>
    <w:p>
      <w:pPr>
        <w:pStyle w:val="FirstParagraph"/>
      </w:pPr>
      <w:r>
        <w:t xml:space="preserve">We report accuracy, macro-F1, weighted-F1, Adjusted Rand Index (ARI), and</w:t>
      </w:r>
      <w:r>
        <w:t xml:space="preserve"> </w:t>
      </w:r>
      <w:r>
        <w:t xml:space="preserve">Normalized Mutual Information (NMI). Because free-text LLM outputs</w:t>
      </w:r>
      <w:r>
        <w:t xml:space="preserve"> </w:t>
      </w:r>
      <w:r>
        <w:t xml:space="preserve">frequently deviate from an exact required label string even when</w:t>
      </w:r>
      <w:r>
        <w:t xml:space="preserve"> </w:t>
      </w:r>
      <w:r>
        <w:t xml:space="preserve">semantically correct, we report both</w:t>
      </w:r>
      <w:r>
        <w:t xml:space="preserve"> </w:t>
      </w:r>
      <w:r>
        <w:rPr>
          <w:bCs/>
          <w:b/>
        </w:rPr>
        <w:t xml:space="preserve">strict</w:t>
      </w:r>
      <w:r>
        <w:t xml:space="preserve"> </w:t>
      </w:r>
      <w:r>
        <w:t xml:space="preserve">(exact-match) and</w:t>
      </w:r>
      <w:r>
        <w:t xml:space="preserve"> </w:t>
      </w:r>
      <w:r>
        <w:rPr>
          <w:bCs/>
          <w:b/>
        </w:rPr>
        <w:t xml:space="preserve">semantically-normalized</w:t>
      </w:r>
      <w:r>
        <w:t xml:space="preserve"> </w:t>
      </w:r>
      <w:r>
        <w:t xml:space="preserve">scoring for every LLM-involving condition</w:t>
      </w:r>
      <w:r>
        <w:t xml:space="preserve"> </w:t>
      </w:r>
      <w:r>
        <w:t xml:space="preserve">that has no built-in validity constraint. The normalization mapping was</w:t>
      </w:r>
      <w:r>
        <w:t xml:space="preserve"> </w:t>
      </w:r>
      <w:r>
        <w:t xml:space="preserve">derived from a pilot batch of outputs and then frozen before further</w:t>
      </w:r>
      <w:r>
        <w:t xml:space="preserve"> </w:t>
      </w:r>
      <w:r>
        <w:t xml:space="preserve">runs, to avoid post-hoc metric shopping. Orchestrator conditions do not</w:t>
      </w:r>
      <w:r>
        <w:t xml:space="preserve"> </w:t>
      </w:r>
      <w:r>
        <w:t xml:space="preserve">require this distinction, since their final outputs are validity-gated</w:t>
      </w:r>
      <w:r>
        <w:t xml:space="preserve"> </w:t>
      </w:r>
      <w:r>
        <w:t xml:space="preserve">by construction. All LLM-involving conditions are run for 5 trials with</w:t>
      </w:r>
      <w:r>
        <w:t xml:space="preserve"> </w:t>
      </w:r>
      <w:r>
        <w:t xml:space="preserve">clustering held fixed and only LLM sampling varying, reporting mean ±</w:t>
      </w:r>
      <w:r>
        <w:t xml:space="preserve"> </w:t>
      </w:r>
      <w:r>
        <w:t xml:space="preserve">standard deviation.</w:t>
      </w:r>
    </w:p>
    <w:bookmarkEnd w:id="26"/>
    <w:bookmarkStart w:id="27" w:name="models-and-infrastructure"/>
    <w:p>
      <w:pPr>
        <w:pStyle w:val="Heading3"/>
      </w:pPr>
      <w:r>
        <w:t xml:space="preserve">4.4 Models and infrastructure</w:t>
      </w:r>
    </w:p>
    <w:p>
      <w:pPr>
        <w:pStyle w:val="FirstParagraph"/>
      </w:pPr>
      <w:r>
        <w:t xml:space="preserve">We use three open-weight models served locally via Ollama:</w:t>
      </w:r>
      <w:r>
        <w:t xml:space="preserve"> </w:t>
      </w:r>
      <w:r>
        <w:rPr>
          <w:rStyle w:val="VerbatimChar"/>
        </w:rPr>
        <w:t xml:space="preserve">llama3.2:3b</w:t>
      </w:r>
      <w:r>
        <w:t xml:space="preserve"> </w:t>
      </w:r>
      <w:r>
        <w:t xml:space="preserve">(the primary model for most conditions),</w:t>
      </w:r>
      <w:r>
        <w:t xml:space="preserve"> </w:t>
      </w:r>
      <w:r>
        <w:rPr>
          <w:rStyle w:val="VerbatimChar"/>
        </w:rPr>
        <w:t xml:space="preserve">llama3.2:1b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qwen2.5:1.5b</w:t>
      </w:r>
      <w:r>
        <w:t xml:space="preserve"> </w:t>
      </w:r>
      <w:r>
        <w:t xml:space="preserve">(used in a model-size sweep of the arbitration</w:t>
      </w:r>
      <w:r>
        <w:t xml:space="preserve"> </w:t>
      </w:r>
      <w:r>
        <w:t xml:space="preserve">orchestrator). All experiments run on a consumer laptop with 8GB of RAM</w:t>
      </w:r>
      <w:r>
        <w:t xml:space="preserve"> </w:t>
      </w:r>
      <w:r>
        <w:t xml:space="preserve">and no GPU acceleration, at zero API cost. We did not evaluate any</w:t>
      </w:r>
      <w:r>
        <w:t xml:space="preserve"> </w:t>
      </w:r>
      <w:r>
        <w:t xml:space="preserve">frontier-tier or paid-API model; this is a deliberate scope decision</w:t>
      </w:r>
      <w:r>
        <w:t xml:space="preserve"> </w:t>
      </w:r>
      <w:r>
        <w:t xml:space="preserve">reflecting the resource-constrained setting this paper investigates, not</w:t>
      </w:r>
      <w:r>
        <w:t xml:space="preserve"> </w:t>
      </w:r>
      <w:r>
        <w:t xml:space="preserve">an oversight (see Limitations).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results"/>
    <w:p>
      <w:pPr>
        <w:pStyle w:val="Heading2"/>
      </w:pPr>
      <w:r>
        <w:t xml:space="preserve">5. Results</w:t>
      </w:r>
    </w:p>
    <w:bookmarkStart w:id="29" w:name="main-comparison"/>
    <w:p>
      <w:pPr>
        <w:pStyle w:val="Heading3"/>
      </w:pPr>
      <w:r>
        <w:t xml:space="preserve">5.1 Main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1 (Classical)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2 (LLM, strict)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0.054 ± 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 ± 0.067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0.458 ± 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0.636 ± 0.037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2 (LLM, normalized)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0.151 ± 0.109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 ± 0.059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0.443 ± 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0.614 ± 0.026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3 (Self-loop, strict)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0.165 ± 0.169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 ± 0.084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0.472 ± 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0.656 ± 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3 (Self-loop, normalized)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0.227 ± 0.209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0.113 ± 0.111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0.472 ± 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0.656 ± 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Orchestrator (Arbitration), llama3.2:3b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0.529 ± 0.069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0.249 ± 0.070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 ± 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0.647 ± 0.021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Orchestrator (Arbitration), llama3.2:1b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0.576 ± 0.000*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Orchestrator (Arbitration), qwen2.5:1.5b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0.534 ± 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Orchestrator (Confidence tie-break), llama3.2:3b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0.545 ± 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0.279 ± 0.070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0.501 ± 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0.628 ± 0.039</w:t>
            </w:r>
          </w:p>
        </w:tc>
      </w:tr>
    </w:tbl>
    <w:p>
      <w:pPr>
        <w:pStyle w:val="BodyText"/>
      </w:pPr>
      <w:r>
        <w:t xml:space="preserve">*See §5.3 — this result is a degenerate case, not genuine model</w:t>
      </w:r>
      <w:r>
        <w:t xml:space="preserve"> </w:t>
      </w:r>
      <w:r>
        <w:t xml:space="preserve">competence.</w:t>
      </w:r>
    </w:p>
    <w:p>
      <w:pPr>
        <w:pStyle w:val="BodyText"/>
      </w:pPr>
      <w:r>
        <w:t xml:space="preserve">The gap between Baseline 2’s strict and normalized scores (0.054 vs.</w:t>
      </w:r>
      <w:r>
        <w:t xml:space="preserve"> </w:t>
      </w:r>
      <w:r>
        <w:t xml:space="preserve">0.151) despite near-identical ARI/NMI is itself informative: clustering-</w:t>
      </w:r>
      <w:r>
        <w:t xml:space="preserve"> </w:t>
      </w:r>
      <w:r>
        <w:t xml:space="preserve">level semantic understanding is largely intact even when exact-match</w:t>
      </w:r>
      <w:r>
        <w:t xml:space="preserve"> </w:t>
      </w:r>
      <w:r>
        <w:t xml:space="preserve">accuracy collapses, indicating that</w:t>
      </w:r>
      <w:r>
        <w:t xml:space="preserve"> </w:t>
      </w:r>
      <w:r>
        <w:rPr>
          <w:bCs/>
          <w:b/>
        </w:rPr>
        <w:t xml:space="preserve">output-format non-compliance, not</w:t>
      </w:r>
      <w:r>
        <w:rPr>
          <w:bCs/>
          <w:b/>
        </w:rPr>
        <w:t xml:space="preserve"> </w:t>
      </w:r>
      <w:r>
        <w:rPr>
          <w:bCs/>
          <w:b/>
        </w:rPr>
        <w:t xml:space="preserve">biological misunderstanding, is the dominant failure mode</w:t>
      </w:r>
      <w:r>
        <w:t xml:space="preserve"> </w:t>
      </w:r>
      <w:r>
        <w:t xml:space="preserve">for a single</w:t>
      </w:r>
      <w:r>
        <w:t xml:space="preserve"> </w:t>
      </w:r>
      <w:r>
        <w:t xml:space="preserve">unconstrained LLM call on this task.</w:t>
      </w:r>
    </w:p>
    <w:bookmarkEnd w:id="29"/>
    <w:bookmarkStart w:id="30" w:name="per-class-patterns"/>
    <w:p>
      <w:pPr>
        <w:pStyle w:val="Heading3"/>
      </w:pPr>
      <w:r>
        <w:t xml:space="preserve">5.2 Per-class patterns</w:t>
      </w:r>
    </w:p>
    <w:p>
      <w:pPr>
        <w:pStyle w:val="FirstParagraph"/>
      </w:pPr>
      <w:r>
        <w:t xml:space="preserve">Across every condition, two cell types are consistently easy to identify</w:t>
      </w:r>
      <w:r>
        <w:t xml:space="preserve"> </w:t>
      </w:r>
      <w:r>
        <w:t xml:space="preserve">— CD19+ B cells (Baseline 1 F1 = 0.953) and CD56+ NK cells (F1 = 0.892) —</w:t>
      </w:r>
      <w:r>
        <w:t xml:space="preserve"> </w:t>
      </w:r>
      <w:r>
        <w:t xml:space="preserve">reflecting their distinctive, non-overlapping marker profiles (CD79A/</w:t>
      </w:r>
      <w:r>
        <w:t xml:space="preserve"> </w:t>
      </w:r>
      <w:r>
        <w:t xml:space="preserve">CD79B/MS4A1 and GNLY/NKG7/KLRD1, respectively). Conversely, fine-grained</w:t>
      </w:r>
      <w:r>
        <w:t xml:space="preserve"> </w:t>
      </w:r>
      <w:r>
        <w:t xml:space="preserve">T-cell subtypes (naive vs. memory, regulatory vs. cytotoxic) score at or</w:t>
      </w:r>
      <w:r>
        <w:t xml:space="preserve"> </w:t>
      </w:r>
      <w:r>
        <w:t xml:space="preserve">near zero F1 across every condition tested, including the classical</w:t>
      </w:r>
      <w:r>
        <w:t xml:space="preserve"> </w:t>
      </w:r>
      <w:r>
        <w:t xml:space="preserve">baseline. This is consistent with the genuine biological difficulty of</w:t>
      </w:r>
      <w:r>
        <w:t xml:space="preserve"> </w:t>
      </w:r>
      <w:r>
        <w:t xml:space="preserve">distinguishing these subtypes from bulk marker-gene expression alone,</w:t>
      </w:r>
      <w:r>
        <w:t xml:space="preserve"> </w:t>
      </w:r>
      <w:r>
        <w:t xml:space="preserve">rather than a specific weakness of any one method.</w:t>
      </w:r>
    </w:p>
    <w:bookmarkEnd w:id="30"/>
    <w:bookmarkStart w:id="31" w:name="Xc1c7c1be86ce957ef614cbe7e055b5b3735b474"/>
    <w:p>
      <w:pPr>
        <w:pStyle w:val="Heading3"/>
      </w:pPr>
      <w:r>
        <w:t xml:space="preserve">5.3 Model-size sweep and the fallback degenerate case</w:t>
      </w:r>
    </w:p>
    <w:p>
      <w:pPr>
        <w:pStyle w:val="FirstParagraph"/>
      </w:pPr>
      <w:r>
        <w:t xml:space="preserve">Sweeping the arbitration orchestrator across three model sizes produced</w:t>
      </w:r>
      <w:r>
        <w:t xml:space="preserve"> </w:t>
      </w:r>
      <w:r>
        <w:t xml:space="preserve">a result that requires careful interpretation.</w:t>
      </w:r>
      <w:r>
        <w:t xml:space="preserve"> </w:t>
      </w:r>
      <w:r>
        <w:rPr>
          <w:rStyle w:val="VerbatimChar"/>
        </w:rPr>
        <w:t xml:space="preserve">llama3.2:1b</w:t>
      </w:r>
      <w:r>
        <w:t xml:space="preserve"> </w:t>
      </w:r>
      <w:r>
        <w:t xml:space="preserve">achieved</w:t>
      </w:r>
      <w:r>
        <w:t xml:space="preserve"> </w:t>
      </w:r>
      <w:r>
        <w:t xml:space="preserve">0.576 ± 0.000 accuracy — apparently tying the classical baseline exactly,</w:t>
      </w:r>
      <w:r>
        <w:t xml:space="preserve"> </w:t>
      </w:r>
      <w:r>
        <w:t xml:space="preserve">with zero variance across all five trials. Inspecting the per-trial logs</w:t>
      </w:r>
      <w:r>
        <w:t xml:space="preserve"> </w:t>
      </w:r>
      <w:r>
        <w:t xml:space="preserve">shows why: in every single trial, all disagreements between the two</w:t>
      </w:r>
      <w:r>
        <w:t xml:space="preserve"> </w:t>
      </w:r>
      <w:r>
        <w:t xml:space="preserve">specialists fell back to the classical answer, because the 1B model</w:t>
      </w:r>
      <w:r>
        <w:t xml:space="preserve"> </w:t>
      </w:r>
      <w:r>
        <w:t xml:space="preserve">never once produced a valid arbitration pick. The orchestrator’s fallback</w:t>
      </w:r>
      <w:r>
        <w:t xml:space="preserve"> </w:t>
      </w:r>
      <w:r>
        <w:t xml:space="preserve">safety net perfectly neutralized a non-functional arbitrator, but the</w:t>
      </w:r>
      <w:r>
        <w:t xml:space="preserve"> </w:t>
      </w:r>
      <w:r>
        <w:t xml:space="preserve">model itself contributed nothing. We flag this explicitly:</w:t>
      </w:r>
      <w:r>
        <w:t xml:space="preserve"> </w:t>
      </w:r>
      <w:r>
        <w:rPr>
          <w:bCs/>
          <w:b/>
        </w:rPr>
        <w:t xml:space="preserve">a model</w:t>
      </w:r>
      <w:r>
        <w:rPr>
          <w:bCs/>
          <w:b/>
        </w:rPr>
        <w:t xml:space="preserve"> </w:t>
      </w:r>
      <w:r>
        <w:rPr>
          <w:bCs/>
          <w:b/>
        </w:rPr>
        <w:t xml:space="preserve">that fails safely can appear to match or exceed a stronger model’s</w:t>
      </w:r>
      <w:r>
        <w:rPr>
          <w:bCs/>
          <w:b/>
        </w:rPr>
        <w:t xml:space="preserve"> </w:t>
      </w:r>
      <w:r>
        <w:rPr>
          <w:bCs/>
          <w:b/>
        </w:rPr>
        <w:t xml:space="preserve">result through fallback alone, without this reflecting genuine model</w:t>
      </w:r>
      <w:r>
        <w:rPr>
          <w:bCs/>
          <w:b/>
        </w:rPr>
        <w:t xml:space="preserve"> </w:t>
      </w:r>
      <w:r>
        <w:rPr>
          <w:bCs/>
          <w:b/>
        </w:rPr>
        <w:t xml:space="preserve">competence.</w:t>
      </w:r>
      <w:r>
        <w:t xml:space="preserve"> </w:t>
      </w:r>
      <w:r>
        <w:t xml:space="preserve">Any comparison across model sizes in an orchestrated system</w:t>
      </w:r>
      <w:r>
        <w:t xml:space="preserve"> </w:t>
      </w:r>
      <w:r>
        <w:t xml:space="preserve">must report and account for fallback rate, not accuracy alone.</w:t>
      </w:r>
    </w:p>
    <w:p>
      <w:pPr>
        <w:pStyle w:val="BodyText"/>
      </w:pPr>
      <w:r>
        <w:t xml:space="preserve">By contrast,</w:t>
      </w:r>
      <w:r>
        <w:t xml:space="preserve"> </w:t>
      </w:r>
      <w:r>
        <w:rPr>
          <w:rStyle w:val="VerbatimChar"/>
        </w:rPr>
        <w:t xml:space="preserve">qwen2.5:1.5b</w:t>
      </w:r>
      <w:r>
        <w:t xml:space="preserve"> </w:t>
      </w:r>
      <w:r>
        <w:t xml:space="preserve">(0.534 ± 0.094, after fixing the validity-gate</w:t>
      </w:r>
      <w:r>
        <w:t xml:space="preserve"> </w:t>
      </w:r>
      <w:r>
        <w:t xml:space="preserve">bug described in §4.2) shows real engagement with the arbitration</w:t>
      </w:r>
      <w:r>
        <w:t xml:space="preserve"> </w:t>
      </w:r>
      <w:r>
        <w:t xml:space="preserve">mechanism — non-trivial agreement rates and a mix of arbitration outcomes</w:t>
      </w:r>
      <w:r>
        <w:t xml:space="preserve"> </w:t>
      </w:r>
      <w:r>
        <w:t xml:space="preserve">— landing close to</w:t>
      </w:r>
      <w:r>
        <w:t xml:space="preserve"> </w:t>
      </w:r>
      <w:r>
        <w:rPr>
          <w:rStyle w:val="VerbatimChar"/>
        </w:rPr>
        <w:t xml:space="preserve">llama3.2:3b</w:t>
      </w:r>
      <w:r>
        <w:t xml:space="preserve">’s result despite having roughly half as</w:t>
      </w:r>
      <w:r>
        <w:t xml:space="preserve"> </w:t>
      </w:r>
      <w:r>
        <w:t xml:space="preserve">many parameters.</w:t>
      </w:r>
    </w:p>
    <w:bookmarkEnd w:id="31"/>
    <w:bookmarkStart w:id="32" w:name="X3b4edcc87e6f52f8675f16ed3d0ab95a58187b3"/>
    <w:p>
      <w:pPr>
        <w:pStyle w:val="Heading3"/>
      </w:pPr>
      <w:r>
        <w:t xml:space="preserve">5.4 Confidence tie-break: best result and a distinct failure mode</w:t>
      </w:r>
    </w:p>
    <w:p>
      <w:pPr>
        <w:pStyle w:val="FirstParagraph"/>
      </w:pPr>
      <w:r>
        <w:t xml:space="preserve">The confidence-weighted tie-break orchestrator achieved the highest mean</w:t>
      </w:r>
      <w:r>
        <w:t xml:space="preserve"> </w:t>
      </w:r>
      <w:r>
        <w:t xml:space="preserve">accuracy among non-degenerate orchestrator conditions (0.545 ± 0.097)</w:t>
      </w:r>
      <w:r>
        <w:t xml:space="preserve"> </w:t>
      </w:r>
      <w:r>
        <w:t xml:space="preserve">while using only one LLM call per trial, compared to up to two for the</w:t>
      </w:r>
      <w:r>
        <w:t xml:space="preserve"> </w:t>
      </w:r>
      <w:r>
        <w:t xml:space="preserve">arbitration variant. Its best individual trial (0.636 accuracy) exceeds</w:t>
      </w:r>
      <w:r>
        <w:t xml:space="preserve"> </w:t>
      </w:r>
      <w:r>
        <w:t xml:space="preserve">the classical baseline outright: two clusters where classical reported</w:t>
      </w:r>
      <w:r>
        <w:t xml:space="preserve"> </w:t>
      </w:r>
      <w:r>
        <w:t xml:space="preserve">low confidence (marker-score margins of 0.41 and 0.93, both below that</w:t>
      </w:r>
      <w:r>
        <w:t xml:space="preserve"> </w:t>
      </w:r>
      <w:r>
        <w:t xml:space="preserve">run’s median) were correctly overridden by confident, correct LLM labels,</w:t>
      </w:r>
      <w:r>
        <w:t xml:space="preserve"> </w:t>
      </w:r>
      <w:r>
        <w:t xml:space="preserve">recovering a cell type (CD14+ Monocyte) that classical alone missed</w:t>
      </w:r>
      <w:r>
        <w:t xml:space="preserve"> </w:t>
      </w:r>
      <w:r>
        <w:t xml:space="preserve">entirely.</w:t>
      </w:r>
    </w:p>
    <w:p>
      <w:pPr>
        <w:pStyle w:val="BodyText"/>
      </w:pPr>
      <w:r>
        <w:t xml:space="preserve">A separate trial exposes a distinct failure mode from the arbitration</w:t>
      </w:r>
      <w:r>
        <w:t xml:space="preserve"> </w:t>
      </w:r>
      <w:r>
        <w:t xml:space="preserve">bug described in §4.2. Here, the LLM’s self-reported confidence (88/100)</w:t>
      </w:r>
      <w:r>
        <w:t xml:space="preserve"> </w:t>
      </w:r>
      <w:r>
        <w:t xml:space="preserve">preceded an</w:t>
      </w:r>
      <w:r>
        <w:t xml:space="preserve"> </w:t>
      </w:r>
      <w:r>
        <w:rPr>
          <w:iCs/>
          <w:i/>
        </w:rPr>
        <w:t xml:space="preserve">incorrect</w:t>
      </w:r>
      <w:r>
        <w:t xml:space="preserve"> </w:t>
      </w:r>
      <w:r>
        <w:t xml:space="preserve">override on a low-margin classical cluster,</w:t>
      </w:r>
      <w:r>
        <w:t xml:space="preserve"> </w:t>
      </w:r>
      <w:r>
        <w:t xml:space="preserve">which combined with a correct call elsewhere to produce over-prediction</w:t>
      </w:r>
      <w:r>
        <w:t xml:space="preserve"> </w:t>
      </w:r>
      <w:r>
        <w:t xml:space="preserve">of a single class, reducing that class’s F1 from 0.89 (classical alone)</w:t>
      </w:r>
      <w:r>
        <w:t xml:space="preserve"> </w:t>
      </w:r>
      <w:r>
        <w:t xml:space="preserve">to 0.24. Critically, this is not a repeat of the earlier validity-gate</w:t>
      </w:r>
      <w:r>
        <w:t xml:space="preserve"> </w:t>
      </w:r>
      <w:r>
        <w:t xml:space="preserve">bug — the label itself was a genuine, valid candidate label; the problem</w:t>
      </w:r>
      <w:r>
        <w:t xml:space="preserve"> </w:t>
      </w:r>
      <w:r>
        <w:t xml:space="preserve">is that the LLM’s stated confidence did not reliably track whether it</w:t>
      </w:r>
      <w:r>
        <w:t xml:space="preserve"> </w:t>
      </w:r>
      <w:r>
        <w:t xml:space="preserve">was actually correct. We observed this pattern within the very same run</w:t>
      </w:r>
      <w:r>
        <w:t xml:space="preserve"> </w:t>
      </w:r>
      <w:r>
        <w:t xml:space="preserve">that also correctly rejected three other high-confidence</w:t>
      </w:r>
      <w:r>
        <w:t xml:space="preserve"> </w:t>
      </w:r>
      <w:r>
        <w:rPr>
          <w:iCs/>
          <w:i/>
        </w:rPr>
        <w:t xml:space="preserve">invalid</w:t>
      </w:r>
      <w:r>
        <w:t xml:space="preserve"> </w:t>
      </w:r>
      <w:r>
        <w:t xml:space="preserve">labels via the validity gate, confirming the gate itself worked as</w:t>
      </w:r>
      <w:r>
        <w:t xml:space="preserve"> </w:t>
      </w:r>
      <w:r>
        <w:t xml:space="preserve">intended — the calibration problem is separate.</w:t>
      </w:r>
    </w:p>
    <w:p>
      <w:pPr>
        <w:pStyle w:val="BodyText"/>
      </w:pPr>
      <w:r>
        <w:t xml:space="preserve">This yields a clean empirical comparison:</w:t>
      </w:r>
      <w:r>
        <w:t xml:space="preserve"> </w:t>
      </w:r>
      <w:r>
        <w:rPr>
          <w:bCs/>
          <w:b/>
        </w:rPr>
        <w:t xml:space="preserve">classical’s confidence</w:t>
      </w:r>
      <w:r>
        <w:rPr>
          <w:bCs/>
          <w:b/>
        </w:rPr>
        <w:t xml:space="preserve"> </w:t>
      </w:r>
      <w:r>
        <w:rPr>
          <w:bCs/>
          <w:b/>
        </w:rPr>
        <w:t xml:space="preserve">signal (marker-score margin) is well-calibrated</w:t>
      </w:r>
      <w:r>
        <w:t xml:space="preserve"> </w:t>
      </w:r>
      <w:r>
        <w:t xml:space="preserve">— the clusters it</w:t>
      </w:r>
      <w:r>
        <w:t xml:space="preserve"> </w:t>
      </w:r>
      <w:r>
        <w:t xml:space="preserve">flags as low-margin are consistently the ones that prove hardest across</w:t>
      </w:r>
      <w:r>
        <w:t xml:space="preserve"> </w:t>
      </w:r>
      <w:r>
        <w:t xml:space="preserve">every condition in this study —</w:t>
      </w:r>
      <w:r>
        <w:t xml:space="preserve"> </w:t>
      </w:r>
      <w:r>
        <w:rPr>
          <w:bCs/>
          <w:b/>
        </w:rPr>
        <w:t xml:space="preserve">while the LLM’s self-reported</w:t>
      </w:r>
      <w:r>
        <w:rPr>
          <w:bCs/>
          <w:b/>
        </w:rPr>
        <w:t xml:space="preserve"> </w:t>
      </w:r>
      <w:r>
        <w:rPr>
          <w:bCs/>
          <w:b/>
        </w:rPr>
        <w:t xml:space="preserve">confidence is not equally trustworthy</w:t>
      </w:r>
      <w:r>
        <w:t xml:space="preserve">, with no obvious signal</w:t>
      </w:r>
      <w:r>
        <w:t xml:space="preserve"> </w:t>
      </w:r>
      <w:r>
        <w:t xml:space="preserve">distinguishing a justified override from an unjustified one at the</w:t>
      </w:r>
      <w:r>
        <w:t xml:space="preserve"> </w:t>
      </w:r>
      <w:r>
        <w:t xml:space="preserve">confidence-score level alone.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iscussion"/>
    <w:p>
      <w:pPr>
        <w:pStyle w:val="Heading2"/>
      </w:pPr>
      <w:r>
        <w:t xml:space="preserve">6. Discussion</w:t>
      </w:r>
    </w:p>
    <w:p>
      <w:pPr>
        <w:pStyle w:val="FirstParagraph"/>
      </w:pPr>
      <w:r>
        <w:t xml:space="preserve">Two independent, mechanistically distinct problems explain why</w:t>
      </w:r>
      <w:r>
        <w:t xml:space="preserve"> </w:t>
      </w:r>
      <w:r>
        <w:t xml:space="preserve">orchestration in our experiments closes most of the gap to the classical</w:t>
      </w:r>
      <w:r>
        <w:t xml:space="preserve"> </w:t>
      </w:r>
      <w:r>
        <w:t xml:space="preserve">baseline but does not robustly exceed it. First, in the arbitration</w:t>
      </w:r>
      <w:r>
        <w:t xml:space="preserve"> </w:t>
      </w:r>
      <w:r>
        <w:t xml:space="preserve">design, format non-compliance (not correctness) was the dominant issue in</w:t>
      </w:r>
      <w:r>
        <w:t xml:space="preserve"> </w:t>
      </w:r>
      <w:r>
        <w:t xml:space="preserve">Baseline 2/3, and while constraining arbitration to a 2-choice format</w:t>
      </w:r>
      <w:r>
        <w:t xml:space="preserve"> </w:t>
      </w:r>
      <w:r>
        <w:t xml:space="preserve">sharply reduced this problem, some fraction of</w:t>
      </w:r>
      <w:r>
        <w:t xml:space="preserve"> </w:t>
      </w:r>
      <w:r>
        <w:t xml:space="preserve">“</w:t>
      </w:r>
      <w:r>
        <w:t xml:space="preserve">successful</w:t>
      </w:r>
      <w:r>
        <w:t xml:space="preserve">”</w:t>
      </w:r>
      <w:r>
        <w:t xml:space="preserve"> </w:t>
      </w:r>
      <w:r>
        <w:t xml:space="preserve">arbitration</w:t>
      </w:r>
      <w:r>
        <w:t xml:space="preserve"> </w:t>
      </w:r>
      <w:r>
        <w:t xml:space="preserve">outcomes were format-valid but content-wrong. Second, in the confidence</w:t>
      </w:r>
      <w:r>
        <w:t xml:space="preserve"> </w:t>
      </w:r>
      <w:r>
        <w:t xml:space="preserve">tie-break design, the validity gate eliminated one class of error</w:t>
      </w:r>
      <w:r>
        <w:t xml:space="preserve"> </w:t>
      </w:r>
      <w:r>
        <w:t xml:space="preserve">(invalid labels) but exposed a second, unrelated one: miscalibrated</w:t>
      </w:r>
      <w:r>
        <w:t xml:space="preserve"> </w:t>
      </w:r>
      <w:r>
        <w:t xml:space="preserve">self-reported confidence. Neither problem is really about</w:t>
      </w:r>
      <w:r>
        <w:t xml:space="preserve"> </w:t>
      </w:r>
      <w:r>
        <w:t xml:space="preserve">“</w:t>
      </w:r>
      <w:r>
        <w:t xml:space="preserve">the model</w:t>
      </w:r>
      <w:r>
        <w:t xml:space="preserve"> </w:t>
      </w:r>
      <w:r>
        <w:t xml:space="preserve">being too small</w:t>
      </w:r>
      <w:r>
        <w:t xml:space="preserve">”</w:t>
      </w:r>
      <w:r>
        <w:t xml:space="preserve"> </w:t>
      </w:r>
      <w:r>
        <w:t xml:space="preserve">— both are about the</w:t>
      </w:r>
      <w:r>
        <w:t xml:space="preserve"> </w:t>
      </w:r>
      <w:r>
        <w:rPr>
          <w:iCs/>
          <w:i/>
        </w:rPr>
        <w:t xml:space="preserve">reconciliation mechanism</w:t>
      </w:r>
      <w:r>
        <w:t xml:space="preserve"> </w:t>
      </w:r>
      <w:r>
        <w:t xml:space="preserve">trusting a signal (arbitrary format compliance, or self-reported</w:t>
      </w:r>
      <w:r>
        <w:t xml:space="preserve"> </w:t>
      </w:r>
      <w:r>
        <w:t xml:space="preserve">confidence) that does not reliably track correctness.</w:t>
      </w:r>
    </w:p>
    <w:p>
      <w:pPr>
        <w:pStyle w:val="BodyText"/>
      </w:pPr>
      <w:r>
        <w:t xml:space="preserve">This suggests a generalizable design principle for resource-constrained</w:t>
      </w:r>
      <w:r>
        <w:t xml:space="preserve"> </w:t>
      </w:r>
      <w:r>
        <w:t xml:space="preserve">agent systems: when a strong, cheap, deterministic baseline already</w:t>
      </w:r>
      <w:r>
        <w:t xml:space="preserve"> </w:t>
      </w:r>
      <w:r>
        <w:t xml:space="preserve">exists for a task, an LLM specialist’s role should be treated as a</w:t>
      </w:r>
      <w:r>
        <w:t xml:space="preserve"> </w:t>
      </w:r>
      <w:r>
        <w:rPr>
          <w:iCs/>
          <w:i/>
        </w:rPr>
        <w:t xml:space="preserve">conditional</w:t>
      </w:r>
      <w:r>
        <w:t xml:space="preserve"> </w:t>
      </w:r>
      <w:r>
        <w:t xml:space="preserve">signal to be validated externally (against a real output</w:t>
      </w:r>
      <w:r>
        <w:t xml:space="preserve"> </w:t>
      </w:r>
      <w:r>
        <w:t xml:space="preserve">space, or against an independently-calibrated confidence source) rather</w:t>
      </w:r>
      <w:r>
        <w:t xml:space="preserve"> </w:t>
      </w:r>
      <w:r>
        <w:t xml:space="preserve">than trusted on its own terms, whether that trust is expressed as</w:t>
      </w:r>
      <w:r>
        <w:t xml:space="preserve"> </w:t>
      </w:r>
      <w:r>
        <w:t xml:space="preserve">format-compliance or self-reported confidence.</w:t>
      </w:r>
    </w:p>
    <w:p>
      <w:pPr>
        <w:pStyle w:val="BodyText"/>
      </w:pPr>
      <w:r>
        <w:t xml:space="preserve">We would expect orchestration to show a clearer advantage in settings</w:t>
      </w:r>
      <w:r>
        <w:t xml:space="preserve"> </w:t>
      </w:r>
      <w:r>
        <w:t xml:space="preserve">where no comparably strong classical baseline exists, or where the</w:t>
      </w:r>
      <w:r>
        <w:t xml:space="preserve"> </w:t>
      </w:r>
      <w:r>
        <w:t xml:space="preserve">candidate label space is large and diverse enough that hand-curated</w:t>
      </w:r>
      <w:r>
        <w:t xml:space="preserve"> </w:t>
      </w:r>
      <w:r>
        <w:t xml:space="preserve">marker dictionaries cannot practically cover it — conditions under which</w:t>
      </w:r>
      <w:r>
        <w:t xml:space="preserve"> </w:t>
      </w:r>
      <w:r>
        <w:t xml:space="preserve">the LLM specialist’s contribution is not competing against an</w:t>
      </w:r>
      <w:r>
        <w:t xml:space="preserve"> </w:t>
      </w:r>
      <w:r>
        <w:t xml:space="preserve">already-strong deterministic prior.</w:t>
      </w:r>
    </w:p>
    <w:p>
      <w:r>
        <w:pict>
          <v:rect style="width:0;height:1.5pt" o:hralign="center" o:hrstd="t" o:hr="t"/>
        </w:pict>
      </w:r>
    </w:p>
    <w:bookmarkEnd w:id="34"/>
    <w:bookmarkStart w:id="35" w:name="limitations"/>
    <w:p>
      <w:pPr>
        <w:pStyle w:val="Heading2"/>
      </w:pPr>
      <w:r>
        <w:t xml:space="preserve">7. Limitations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Single dataset, single tissue type, small scale.</w:t>
      </w:r>
      <w:r>
        <w:t xml:space="preserve"> </w:t>
      </w:r>
      <w:r>
        <w:t xml:space="preserve">All results use</w:t>
      </w:r>
      <w:r>
        <w:t xml:space="preserve"> </w:t>
      </w:r>
      <w:r>
        <w:t xml:space="preserve">700 cells from one PBMC reference dataset. Generalization to other</w:t>
      </w:r>
      <w:r>
        <w:t xml:space="preserve"> </w:t>
      </w:r>
      <w:r>
        <w:t xml:space="preserve">tissues, larger cell counts, or rarer cell types is untested.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frontier-model comparison.</w:t>
      </w:r>
      <w:r>
        <w:t xml:space="preserve"> </w:t>
      </w:r>
      <w:r>
        <w:t xml:space="preserve">We deliberately restrict this study</w:t>
      </w:r>
      <w:r>
        <w:t xml:space="preserve"> </w:t>
      </w:r>
      <w:r>
        <w:t xml:space="preserve">to free, locally-run models under 4B parameters, reflecting the</w:t>
      </w:r>
      <w:r>
        <w:t xml:space="preserve"> </w:t>
      </w:r>
      <w:r>
        <w:t xml:space="preserve">resource-constrained setting under investigation. We do not know how</w:t>
      </w:r>
      <w:r>
        <w:t xml:space="preserve"> </w:t>
      </w:r>
      <w:r>
        <w:t xml:space="preserve">our orchestrator designs would perform with a substantially more</w:t>
      </w:r>
      <w:r>
        <w:t xml:space="preserve"> </w:t>
      </w:r>
      <w:r>
        <w:t xml:space="preserve">capable underlying model, and we explicitly avoid claiming our</w:t>
      </w:r>
      <w:r>
        <w:t xml:space="preserve"> </w:t>
      </w:r>
      <w:r>
        <w:t xml:space="preserve">findings generalize to that regime.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Single clustering configuration.</w:t>
      </w:r>
      <w:r>
        <w:t xml:space="preserve"> </w:t>
      </w:r>
      <w:r>
        <w:t xml:space="preserve">While LLM-involving conditions are</w:t>
      </w:r>
      <w:r>
        <w:t xml:space="preserve"> </w:t>
      </w:r>
      <w:r>
        <w:t xml:space="preserve">run across 5 sampling trials, the underlying clustering itself uses a</w:t>
      </w:r>
      <w:r>
        <w:t xml:space="preserve"> </w:t>
      </w:r>
      <w:r>
        <w:t xml:space="preserve">single seed and resolution for the</w:t>
      </w:r>
      <w:r>
        <w:t xml:space="preserve"> </w:t>
      </w:r>
      <w:r>
        <w:rPr>
          <w:rStyle w:val="VerbatimChar"/>
        </w:rPr>
        <w:t xml:space="preserve">pbmc68k_reduced</w:t>
      </w:r>
      <w:r>
        <w:t xml:space="preserve"> </w:t>
      </w:r>
      <w:r>
        <w:t xml:space="preserve">results; clustering</w:t>
      </w:r>
      <w:r>
        <w:t xml:space="preserve"> </w:t>
      </w:r>
      <w:r>
        <w:t xml:space="preserve">stability across seeds is not separately evaluated.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Hand-curated classical marker dictionary.</w:t>
      </w:r>
      <w:r>
        <w:t xml:space="preserve"> </w:t>
      </w:r>
      <w:r>
        <w:t xml:space="preserve">Baseline 1’s marker gene</w:t>
      </w:r>
      <w:r>
        <w:t xml:space="preserve"> </w:t>
      </w:r>
      <w:r>
        <w:t xml:space="preserve">sets were manually curated from canonical literature, not learned or</w:t>
      </w:r>
      <w:r>
        <w:t xml:space="preserve"> </w:t>
      </w:r>
      <w:r>
        <w:t xml:space="preserve">systematically validated against a larger reference; its strong</w:t>
      </w:r>
      <w:r>
        <w:t xml:space="preserve"> </w:t>
      </w:r>
      <w:r>
        <w:t xml:space="preserve">performance should be read as a property of this specific,</w:t>
      </w:r>
      <w:r>
        <w:t xml:space="preserve"> </w:t>
      </w:r>
      <w:r>
        <w:t xml:space="preserve">well-characterized dataset and candidate label set, not a general claim</w:t>
      </w:r>
      <w:r>
        <w:t xml:space="preserve"> </w:t>
      </w:r>
      <w:r>
        <w:t xml:space="preserve">about classical methods.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Preprocessing pipeline omits doublet detection and uses fixed QC</w:t>
      </w:r>
      <w:r>
        <w:rPr>
          <w:bCs/>
          <w:b/>
        </w:rPr>
        <w:t xml:space="preserve"> </w:t>
      </w:r>
      <w:r>
        <w:rPr>
          <w:bCs/>
          <w:b/>
        </w:rPr>
        <w:t xml:space="preserve">thresholds.</w:t>
      </w:r>
      <w:r>
        <w:t xml:space="preserve"> </w:t>
      </w:r>
      <w:r>
        <w:t xml:space="preserve">We do not run a doublet detector (e.g., Scrublet) at any</w:t>
      </w:r>
      <w:r>
        <w:t xml:space="preserve"> </w:t>
      </w:r>
      <w:r>
        <w:t xml:space="preserve">stage, and where QC filtering does run (the PBMC3k sanity-check</w:t>
      </w:r>
      <w:r>
        <w:t xml:space="preserve"> </w:t>
      </w:r>
      <w:r>
        <w:t xml:space="preserve">pipeline only — not the reported-results dataset, see §3), thresholds</w:t>
      </w:r>
      <w:r>
        <w:t xml:space="preserve"> </w:t>
      </w:r>
      <w:r>
        <w:t xml:space="preserve">are fixed constants rather than adaptive, outlier-based cutoffs. For</w:t>
      </w:r>
      <w:r>
        <w:t xml:space="preserve"> </w:t>
      </w:r>
      <w:r>
        <w:rPr>
          <w:rStyle w:val="VerbatimChar"/>
        </w:rPr>
        <w:t xml:space="preserve">pbmc68k_reduced</w:t>
      </w:r>
      <w:r>
        <w:t xml:space="preserve"> </w:t>
      </w:r>
      <w:r>
        <w:t xml:space="preserve">specifically, we rely entirely on the dataset’s</w:t>
      </w:r>
      <w:r>
        <w:t xml:space="preserve"> </w:t>
      </w:r>
      <w:r>
        <w:t xml:space="preserve">existing upstream curation rather than re-running QC ourselves. These</w:t>
      </w:r>
      <w:r>
        <w:t xml:space="preserve"> </w:t>
      </w:r>
      <w:r>
        <w:t xml:space="preserve">are standard simplifications for a comparison-of-methods study rather</w:t>
      </w:r>
      <w:r>
        <w:t xml:space="preserve"> </w:t>
      </w:r>
      <w:r>
        <w:t xml:space="preserve">than a pipeline-development study, but they mean our clustering</w:t>
      </w:r>
      <w:r>
        <w:t xml:space="preserve"> </w:t>
      </w:r>
      <w:r>
        <w:t xml:space="preserve">pipeline should not be read as a best-practice reference implementation</w:t>
      </w:r>
      <w:r>
        <w:t xml:space="preserve"> </w:t>
      </w:r>
      <w:r>
        <w:t xml:space="preserve">in its own right.</w:t>
      </w:r>
    </w:p>
    <w:p>
      <w:r>
        <w:pict>
          <v:rect style="width:0;height:1.5pt" o:hralign="center" o:hrstd="t" o:hr="t"/>
        </w:pict>
      </w:r>
    </w:p>
    <w:bookmarkEnd w:id="35"/>
    <w:bookmarkStart w:id="36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We show that, for small, free, locally-run language models on a concrete</w:t>
      </w:r>
      <w:r>
        <w:t xml:space="preserve"> </w:t>
      </w:r>
      <w:r>
        <w:t xml:space="preserve">cell-type annotation task, naive single-shot LLM annotation substantially</w:t>
      </w:r>
      <w:r>
        <w:t xml:space="preserve"> </w:t>
      </w:r>
      <w:r>
        <w:t xml:space="preserve">underperforms a free classical baseline, primarily due to output-format</w:t>
      </w:r>
      <w:r>
        <w:t xml:space="preserve"> </w:t>
      </w:r>
      <w:r>
        <w:t xml:space="preserve">non-compliance rather than biological misunderstanding. Orchestration —</w:t>
      </w:r>
      <w:r>
        <w:t xml:space="preserve"> </w:t>
      </w:r>
      <w:r>
        <w:t xml:space="preserve">decomposing the task and reconciling specialist outputs — closes most of</w:t>
      </w:r>
      <w:r>
        <w:t xml:space="preserve"> </w:t>
      </w:r>
      <w:r>
        <w:t xml:space="preserve">this gap, but the</w:t>
      </w:r>
      <w:r>
        <w:t xml:space="preserve"> </w:t>
      </w:r>
      <w:r>
        <w:rPr>
          <w:iCs/>
          <w:i/>
        </w:rPr>
        <w:t xml:space="preserve">mechanism</w:t>
      </w:r>
      <w:r>
        <w:t xml:space="preserve"> </w:t>
      </w:r>
      <w:r>
        <w:t xml:space="preserve">by which disagreements are resolved matters</w:t>
      </w:r>
      <w:r>
        <w:t xml:space="preserve"> </w:t>
      </w:r>
      <w:r>
        <w:t xml:space="preserve">more than either model size or the mere presence of multiple components.</w:t>
      </w:r>
      <w:r>
        <w:t xml:space="preserve"> </w:t>
      </w:r>
      <w:r>
        <w:t xml:space="preserve">We identify two concrete, generalizable lessons from bugs found only</w:t>
      </w:r>
      <w:r>
        <w:t xml:space="preserve"> </w:t>
      </w:r>
      <w:r>
        <w:t xml:space="preserve">through empirical testing: reconciliation logic must validate against the</w:t>
      </w:r>
      <w:r>
        <w:t xml:space="preserve"> </w:t>
      </w:r>
      <w:r>
        <w:t xml:space="preserve">true output space, not just internal consistency between components; and</w:t>
      </w:r>
      <w:r>
        <w:t xml:space="preserve"> </w:t>
      </w:r>
      <w:r>
        <w:t xml:space="preserve">self-reported LLM confidence is not a reliable substitute for an</w:t>
      </w:r>
      <w:r>
        <w:t xml:space="preserve"> </w:t>
      </w:r>
      <w:r>
        <w:t xml:space="preserve">externally-calibrated confidence signal. Both lessons plausibly apply</w:t>
      </w:r>
      <w:r>
        <w:t xml:space="preserve"> </w:t>
      </w:r>
      <w:r>
        <w:t xml:space="preserve">well beyond this specific task and dataset.</w:t>
      </w:r>
    </w:p>
    <w:p>
      <w:r>
        <w:pict>
          <v:rect style="width:0;height:1.5pt" o:hralign="center" o:hrstd="t" o:hr="t"/>
        </w:pict>
      </w:r>
    </w:p>
    <w:bookmarkEnd w:id="36"/>
    <w:bookmarkStart w:id="37" w:name="reproducibility-statement"/>
    <w:p>
      <w:pPr>
        <w:pStyle w:val="Heading2"/>
      </w:pPr>
      <w:r>
        <w:t xml:space="preserve">Reproducibility Statement</w:t>
      </w:r>
    </w:p>
    <w:p>
      <w:pPr>
        <w:pStyle w:val="FirstParagraph"/>
      </w:pPr>
      <w:r>
        <w:t xml:space="preserve">All code, the evaluation protocol (written and frozen before results were</w:t>
      </w:r>
      <w:r>
        <w:t xml:space="preserve"> </w:t>
      </w:r>
      <w:r>
        <w:t xml:space="preserve">generated), and a full results log documenting every experiment,</w:t>
      </w:r>
      <w:r>
        <w:t xml:space="preserve"> </w:t>
      </w:r>
      <w:r>
        <w:t xml:space="preserve">including two bugs found and fixed during development, are available at</w:t>
      </w:r>
      <w:r>
        <w:t xml:space="preserve"> </w:t>
      </w:r>
      <w:r>
        <w:t xml:space="preserve">[github.com/sikkibist/sc-agent-orchestration]. Every experiment in this</w:t>
      </w:r>
      <w:r>
        <w:t xml:space="preserve"> </w:t>
      </w:r>
      <w:r>
        <w:t xml:space="preserve">paper is runnable at zero monetary cost on consumer hardware (tested on</w:t>
      </w:r>
      <w:r>
        <w:t xml:space="preserve"> </w:t>
      </w:r>
      <w:r>
        <w:t xml:space="preserve">an 8GB-RAM laptop) using open-weight models served locally via Ollama.</w:t>
      </w:r>
    </w:p>
    <w:p>
      <w:r>
        <w:pict>
          <v:rect style="width:0;height:1.5pt" o:hralign="center" o:hrstd="t" o:hr="t"/>
        </w:pict>
      </w:r>
    </w:p>
    <w:bookmarkEnd w:id="37"/>
    <w:bookmarkStart w:id="38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4"/>
        </w:numPr>
        <w:pStyle w:val="Compact"/>
      </w:pPr>
      <w:r>
        <w:t xml:space="preserve">Li, B., Saini, A. K., Hernandez, J. G. &amp; Moore, J. H. Agentic AI and</w:t>
      </w:r>
      <w:r>
        <w:t xml:space="preserve"> </w:t>
      </w:r>
      <w:r>
        <w:t xml:space="preserve">the rise of in silico team science in biomedical research.</w:t>
      </w:r>
      <w:r>
        <w:t xml:space="preserve"> </w:t>
      </w:r>
      <w:r>
        <w:rPr>
          <w:iCs/>
          <w:i/>
        </w:rPr>
        <w:t xml:space="preserve">Nature</w:t>
      </w:r>
      <w:r>
        <w:rPr>
          <w:iCs/>
          <w:i/>
        </w:rPr>
        <w:t xml:space="preserve"> </w:t>
      </w:r>
      <w:r>
        <w:rPr>
          <w:iCs/>
          <w:i/>
        </w:rPr>
        <w:t xml:space="preserve">Biotechnology</w:t>
      </w:r>
      <w:r>
        <w:t xml:space="preserve"> </w:t>
      </w:r>
      <w:r>
        <w:t xml:space="preserve">44, 711–725 (2026).</w:t>
      </w:r>
    </w:p>
    <w:p>
      <w:pPr>
        <w:numPr>
          <w:ilvl w:val="0"/>
          <w:numId w:val="1004"/>
        </w:numPr>
        <w:pStyle w:val="Compact"/>
      </w:pPr>
      <w:r>
        <w:t xml:space="preserve">Qi, C., Wang, W., Jiang, S., Liu, Q., Song, X., Fang, H. &amp; Wei, Z.</w:t>
      </w:r>
      <w:r>
        <w:t xml:space="preserve"> </w:t>
      </w:r>
      <w:r>
        <w:t xml:space="preserve">Artificial Intelligence agents for biological research: a survey.</w:t>
      </w:r>
      <w:r>
        <w:t xml:space="preserve"> </w:t>
      </w:r>
      <w:r>
        <w:rPr>
          <w:iCs/>
          <w:i/>
        </w:rPr>
        <w:t xml:space="preserve">Briefings in Bioinformatics</w:t>
      </w:r>
      <w:r>
        <w:t xml:space="preserve"> </w:t>
      </w:r>
      <w:r>
        <w:t xml:space="preserve">27(1), bbag075 (2026).</w:t>
      </w:r>
    </w:p>
    <w:p>
      <w:pPr>
        <w:numPr>
          <w:ilvl w:val="0"/>
          <w:numId w:val="1004"/>
        </w:numPr>
        <w:pStyle w:val="Compact"/>
      </w:pPr>
      <w:r>
        <w:t xml:space="preserve">Zhou, J., Jiang, J., Han, Z., Wang, Z. &amp; Gao, X. Streamline automated</w:t>
      </w:r>
      <w:r>
        <w:t xml:space="preserve"> </w:t>
      </w:r>
      <w:r>
        <w:t xml:space="preserve">biomedical discoveries with agentic bioinformatics.</w:t>
      </w:r>
      <w:r>
        <w:t xml:space="preserve"> </w:t>
      </w:r>
      <w:r>
        <w:rPr>
          <w:iCs/>
          <w:i/>
        </w:rPr>
        <w:t xml:space="preserve">Briefings in</w:t>
      </w:r>
      <w:r>
        <w:rPr>
          <w:iCs/>
          <w:i/>
        </w:rPr>
        <w:t xml:space="preserve"> </w:t>
      </w:r>
      <w:r>
        <w:rPr>
          <w:iCs/>
          <w:i/>
        </w:rPr>
        <w:t xml:space="preserve">Bioinformatics</w:t>
      </w:r>
      <w:r>
        <w:t xml:space="preserve"> </w:t>
      </w:r>
      <w:r>
        <w:t xml:space="preserve">26(5), bbaf505 (2025).</w:t>
      </w:r>
    </w:p>
    <w:p>
      <w:pPr>
        <w:numPr>
          <w:ilvl w:val="0"/>
          <w:numId w:val="1004"/>
        </w:numPr>
        <w:pStyle w:val="Compact"/>
      </w:pPr>
      <w:r>
        <w:t xml:space="preserve">Xiao, Y., Liu, J., Zheng, Y., Xie, X., Hao, J., Li, M. et al.</w:t>
      </w:r>
      <w:r>
        <w:t xml:space="preserve"> </w:t>
      </w:r>
      <w:r>
        <w:t xml:space="preserve">CellAgent: An LLM-driven Multi-Agent Framework for Automated</w:t>
      </w:r>
      <w:r>
        <w:t xml:space="preserve"> </w:t>
      </w:r>
      <w:r>
        <w:t xml:space="preserve">Single-cell Data Analysis. arXiv:2407.09811 (2024).</w:t>
      </w:r>
    </w:p>
    <w:p>
      <w:pPr>
        <w:numPr>
          <w:ilvl w:val="0"/>
          <w:numId w:val="1004"/>
        </w:numPr>
        <w:pStyle w:val="Compact"/>
      </w:pPr>
      <w:r>
        <w:t xml:space="preserve">Su, H., Long, W. &amp; Zhang, Y. BioMaster: Multi-agent System for</w:t>
      </w:r>
      <w:r>
        <w:t xml:space="preserve"> </w:t>
      </w:r>
      <w:r>
        <w:t xml:space="preserve">Automated Bioinformatics Analysis Workflow. bioRxiv 2025.01.23.634608</w:t>
      </w:r>
      <w:r>
        <w:t xml:space="preserve"> </w:t>
      </w:r>
      <w:r>
        <w:t xml:space="preserve">(2025).</w:t>
      </w:r>
    </w:p>
    <w:p>
      <w:pPr>
        <w:numPr>
          <w:ilvl w:val="0"/>
          <w:numId w:val="1004"/>
        </w:numPr>
        <w:pStyle w:val="Compact"/>
      </w:pPr>
      <w:r>
        <w:t xml:space="preserve">Huang, K., Zhang, S., Wang, H., Qu, Y., Lu, Y., Roohani, Y. et al.</w:t>
      </w:r>
      <w:r>
        <w:t xml:space="preserve"> </w:t>
      </w:r>
      <w:r>
        <w:t xml:space="preserve">Biomni: A General-Purpose Biomedical AI Agent. bioRxiv 2025.05.30.656746</w:t>
      </w:r>
      <w:r>
        <w:t xml:space="preserve"> </w:t>
      </w:r>
      <w:r>
        <w:t xml:space="preserve">(2025). [Subsequently published in</w:t>
      </w:r>
      <w:r>
        <w:t xml:space="preserve"> </w:t>
      </w:r>
      <w:r>
        <w:rPr>
          <w:iCs/>
          <w:i/>
        </w:rPr>
        <w:t xml:space="preserve">Science</w:t>
      </w:r>
      <w:r>
        <w:t xml:space="preserve">, 2026 — exact Science</w:t>
      </w:r>
      <w:r>
        <w:t xml:space="preserve"> </w:t>
      </w:r>
      <w:r>
        <w:t xml:space="preserve">citation details not independently verified; cite the bioRxiv</w:t>
      </w:r>
      <w:r>
        <w:t xml:space="preserve"> </w:t>
      </w:r>
      <w:r>
        <w:t xml:space="preserve">preprint or verify the Science version directly before final</w:t>
      </w:r>
      <w:r>
        <w:t xml:space="preserve"> </w:t>
      </w:r>
      <w:r>
        <w:t xml:space="preserve">submission.]</w:t>
      </w:r>
    </w:p>
    <w:p>
      <w:pPr>
        <w:numPr>
          <w:ilvl w:val="0"/>
          <w:numId w:val="1004"/>
        </w:numPr>
        <w:pStyle w:val="Compact"/>
      </w:pPr>
      <w:r>
        <w:t xml:space="preserve">Liu, H., Chen, S., Zhang, Y. &amp; Wang, H. GenoTEX: A Benchmark for</w:t>
      </w:r>
      <w:r>
        <w:t xml:space="preserve"> </w:t>
      </w:r>
      <w:r>
        <w:t xml:space="preserve">Automated Gene Expression Data Analysis in Alignment with</w:t>
      </w:r>
      <w:r>
        <w:t xml:space="preserve"> </w:t>
      </w:r>
      <w:r>
        <w:t xml:space="preserve">Bioinformaticians. arXiv:2406.15341 (2024).</w:t>
      </w:r>
    </w:p>
    <w:p>
      <w:pPr>
        <w:numPr>
          <w:ilvl w:val="0"/>
          <w:numId w:val="1004"/>
        </w:numPr>
        <w:pStyle w:val="Compact"/>
      </w:pPr>
      <w:r>
        <w:t xml:space="preserve">Zheng, G. X. Y. et al. Massively parallel digital transcriptional</w:t>
      </w:r>
      <w:r>
        <w:t xml:space="preserve"> </w:t>
      </w:r>
      <w:r>
        <w:t xml:space="preserve">profiling of single cells.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 </w:t>
      </w:r>
      <w:r>
        <w:t xml:space="preserve">8, 14049 (2017).</w:t>
      </w:r>
      <w:r>
        <w:t xml:space="preserve"> </w:t>
      </w:r>
      <w:r>
        <w:t xml:space="preserve">[PBMC68k dataset]</w:t>
      </w:r>
    </w:p>
    <w:p>
      <w:pPr>
        <w:numPr>
          <w:ilvl w:val="0"/>
          <w:numId w:val="1004"/>
        </w:numPr>
        <w:pStyle w:val="Compact"/>
      </w:pPr>
      <w:r>
        <w:t xml:space="preserve">Wolf, F. A., Angerer, P. &amp; Theis, F. J. SCANPY: large-scale</w:t>
      </w:r>
      <w:r>
        <w:t xml:space="preserve"> </w:t>
      </w:r>
      <w:r>
        <w:t xml:space="preserve">single-cell gene expression data analysis.</w:t>
      </w:r>
      <w:r>
        <w:t xml:space="preserve"> </w:t>
      </w:r>
      <w:r>
        <w:rPr>
          <w:iCs/>
          <w:i/>
        </w:rPr>
        <w:t xml:space="preserve">Genome Biology</w:t>
      </w:r>
      <w:r>
        <w:t xml:space="preserve"> </w:t>
      </w:r>
      <w:r>
        <w:t xml:space="preserve">19, 15</w:t>
      </w:r>
      <w:r>
        <w:t xml:space="preserve"> </w:t>
      </w:r>
      <w:r>
        <w:t xml:space="preserve">(2018).</w:t>
      </w:r>
    </w:p>
    <w:p>
      <w:pPr>
        <w:numPr>
          <w:ilvl w:val="0"/>
          <w:numId w:val="1004"/>
        </w:numPr>
        <w:pStyle w:val="Compact"/>
      </w:pPr>
      <w:r>
        <w:t xml:space="preserve">Traag, V. A., Waltman, L. &amp; van Eck, N. J. From Louvain to Leiden:</w:t>
      </w:r>
      <w:r>
        <w:t xml:space="preserve"> </w:t>
      </w:r>
      <w:r>
        <w:t xml:space="preserve">guaranteeing well-connected communities.</w:t>
      </w:r>
      <w:r>
        <w:t xml:space="preserve"> </w:t>
      </w:r>
      <w:r>
        <w:rPr>
          <w:iCs/>
          <w:i/>
        </w:rPr>
        <w:t xml:space="preserve">Scientific Reports</w:t>
      </w:r>
      <w:r>
        <w:t xml:space="preserve"> </w:t>
      </w:r>
      <w:r>
        <w:t xml:space="preserve">9,</w:t>
      </w:r>
      <w:r>
        <w:t xml:space="preserve"> </w:t>
      </w:r>
      <w:r>
        <w:t xml:space="preserve">5233 (2019).</w:t>
      </w:r>
    </w:p>
    <w:p>
      <w:pPr>
        <w:pStyle w:val="FirstParagraph"/>
      </w:pPr>
      <w:r>
        <w:rPr>
          <w:iCs/>
          <w:i/>
        </w:rPr>
        <w:t xml:space="preserve">(All references verified against live sources on 2026-07-25 —</w:t>
      </w:r>
      <w:r>
        <w:rPr>
          <w:iCs/>
          <w:i/>
        </w:rPr>
        <w:t xml:space="preserve"> </w:t>
      </w:r>
      <w:r>
        <w:rPr>
          <w:iCs/>
          <w:i/>
        </w:rPr>
        <w:t xml:space="preserve">titles, authors, and venues confirmed accurate as of this date. Convert</w:t>
      </w:r>
      <w:r>
        <w:rPr>
          <w:iCs/>
          <w:i/>
        </w:rPr>
        <w:t xml:space="preserve"> </w:t>
      </w:r>
      <w:r>
        <w:rPr>
          <w:iCs/>
          <w:i/>
        </w:rPr>
        <w:t xml:space="preserve">to your target venue’s citation style, e.g. numbered IEEE, APA, or</w:t>
      </w:r>
      <w:r>
        <w:rPr>
          <w:iCs/>
          <w:i/>
        </w:rPr>
        <w:t xml:space="preserve"> </w:t>
      </w:r>
      <w:r>
        <w:rPr>
          <w:iCs/>
          <w:i/>
        </w:rPr>
        <w:t xml:space="preserve">author-year, before submission.)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2026-07-28T05:30:46Z</dcterms:created>
  <dcterms:modified xsi:type="dcterms:W3CDTF">2026-07-28T05:30:46Z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