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ollow-up-study-design-results-update"/>
    <w:p>
      <w:pPr>
        <w:pStyle w:val="Heading1"/>
      </w:pPr>
      <w:r>
        <w:t xml:space="preserve">Follow-Up Study Design — RESULTS UPDATE</w:t>
      </w:r>
    </w:p>
    <w:bookmarkStart w:id="20" w:name="Xc7293626fa0859efb798944a83960934eeb1ddc"/>
    <w:p>
      <w:pPr>
        <w:pStyle w:val="Heading2"/>
      </w:pPr>
      <w:r>
        <w:t xml:space="preserve">Self-Routing in Free, Local LLM Orchestration: Does the Model Know Which Specialist to Trust?</w:t>
      </w:r>
    </w:p>
    <w:p>
      <w:pPr>
        <w:pStyle w:val="FirstParagraph"/>
      </w:pPr>
      <w:r>
        <w:t xml:space="preserve">Companion 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When Does Orchestration Help?</w:t>
      </w:r>
      <w:r>
        <w:rPr>
          <w:iCs/>
          <w:i/>
        </w:rPr>
        <w:t xml:space="preserve">”</w:t>
      </w:r>
      <w:r>
        <w:t xml:space="preserve"> </w:t>
      </w:r>
      <w:r>
        <w:t xml:space="preserve">(v1). Same task, dataset, and infrastructure; new independent variable.</w:t>
      </w:r>
    </w:p>
    <w:p>
      <w:pPr>
        <w:pStyle w:val="BodyText"/>
      </w:pPr>
      <w:r>
        <w:rPr>
          <w:bCs/>
          <w:b/>
        </w:rPr>
        <w:t xml:space="preserve">Status: Core experiment complete.</w:t>
      </w:r>
      <w:r>
        <w:t xml:space="preserve"> </w:t>
      </w:r>
      <w:r>
        <w:t xml:space="preserve">llama3.2:3b, 5 trials, both variants, pbmc68k_reduced. Results below replace the pre-registered predictions in Section 6 with actual outcomes.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research-question"/>
    <w:p>
      <w:pPr>
        <w:pStyle w:val="Heading1"/>
      </w:pPr>
      <w:r>
        <w:t xml:space="preserve">1. Core Research Question</w:t>
      </w:r>
    </w:p>
    <w:p>
      <w:pPr>
        <w:pStyle w:val="FirstParagraph"/>
      </w:pPr>
      <w:r>
        <w:t xml:space="preserve">In the original paper, I decided the reconciliation rule — arbitration, or confidence-margin comparison. The model never chose its own role in the pipeline.</w:t>
      </w:r>
    </w:p>
    <w:p>
      <w:pPr>
        <w:pStyle w:val="BodyText"/>
      </w:pPr>
      <w:r>
        <w:t xml:space="preserve">This follow-up flips that: the LLM is given a routing decision to make itself, and I study the basis on which it makes it — not whether the final annotation is correct, but whether the model’s choice of</w:t>
      </w:r>
      <w:r>
        <w:t xml:space="preserve"> </w:t>
      </w:r>
      <w:r>
        <w:t xml:space="preserve">“</w:t>
      </w:r>
      <w:r>
        <w:t xml:space="preserve">who to trust</w:t>
      </w:r>
      <w:r>
        <w:t xml:space="preserve">”</w:t>
      </w:r>
      <w:r>
        <w:t xml:space="preserve"> </w:t>
      </w:r>
      <w:r>
        <w:t xml:space="preserve">tracks anything real.</w:t>
      </w:r>
    </w:p>
    <w:p>
      <w:pPr>
        <w:pStyle w:val="BodyText"/>
      </w:pPr>
      <w:r>
        <w:rPr>
          <w:bCs/>
          <w:b/>
        </w:rPr>
        <w:t xml:space="preserve">RQ1:</w:t>
      </w:r>
      <w:r>
        <w:t xml:space="preserve"> </w:t>
      </w:r>
      <w:r>
        <w:t xml:space="preserve">When given the option to defer to a classical baseline or answer itself, on what basis does a small local LLM choose — and does that basis correlate with actual correctness?</w:t>
      </w:r>
    </w:p>
    <w:p>
      <w:pPr>
        <w:pStyle w:val="BodyText"/>
      </w:pPr>
      <w:r>
        <w:rPr>
          <w:bCs/>
          <w:b/>
        </w:rPr>
        <w:t xml:space="preserve">RQ2:</w:t>
      </w:r>
      <w:r>
        <w:t xml:space="preserve"> </w:t>
      </w:r>
      <w:r>
        <w:t xml:space="preserve">Does self-routing behavior degrade the same way arbitration did for the 1B model in the original paper (§5.3) — i.e., does a weak model produce a degenerate, uninformative routing pattern rather than a genuinely discriminating one?</w:t>
      </w:r>
    </w:p>
    <w:p>
      <w:pPr>
        <w:pStyle w:val="BodyText"/>
      </w:pPr>
      <w:r>
        <w:rPr>
          <w:bCs/>
          <w:b/>
        </w:rPr>
        <w:t xml:space="preserve">RQ3:</w:t>
      </w:r>
      <w:r>
        <w:t xml:space="preserve"> </w:t>
      </w:r>
      <w:r>
        <w:t xml:space="preserve">Does self-reported routing confidence carry the same miscalibration problem found in §5.4 of the original paper, or is it a distinct failure mode?</w:t>
      </w:r>
    </w:p>
    <w:p>
      <w:r>
        <w:pict>
          <v:rect style="width:0;height:1.5pt" o:hralign="center" o:hrstd="t" o:hr="t"/>
        </w:pict>
      </w:r>
    </w:p>
    <w:bookmarkEnd w:id="22"/>
    <w:bookmarkStart w:id="23" w:name="what-stayed-the-same-reused-from-v1"/>
    <w:p>
      <w:pPr>
        <w:pStyle w:val="Heading1"/>
      </w:pPr>
      <w:r>
        <w:t xml:space="preserve">2. What Stayed the Same (reused from v1)</w:t>
      </w:r>
    </w:p>
    <w:p>
      <w:pPr>
        <w:numPr>
          <w:ilvl w:val="0"/>
          <w:numId w:val="1001"/>
        </w:numPr>
        <w:pStyle w:val="Compact"/>
      </w:pPr>
      <w:r>
        <w:t xml:space="preserve">Dataset: pbmc68k_reduced (Scanpy), FACS-sorted ground truth, 10 cell types, 700 cells.</w:t>
      </w:r>
    </w:p>
    <w:p>
      <w:pPr>
        <w:numPr>
          <w:ilvl w:val="0"/>
          <w:numId w:val="1001"/>
        </w:numPr>
        <w:pStyle w:val="Compact"/>
      </w:pPr>
      <w:r>
        <w:t xml:space="preserve">Preprocessing/clustering: identical pipeline (QC → normalization → log-transform → PCA → Leiden, resolution 0.6).</w:t>
      </w:r>
    </w:p>
    <w:p>
      <w:pPr>
        <w:numPr>
          <w:ilvl w:val="0"/>
          <w:numId w:val="1001"/>
        </w:numPr>
        <w:pStyle w:val="Compact"/>
      </w:pPr>
      <w:r>
        <w:t xml:space="preserve">Classical specialist: Scanpy score_genes, unchanged, now also returning a confidence margin.</w:t>
      </w:r>
    </w:p>
    <w:p>
      <w:pPr>
        <w:numPr>
          <w:ilvl w:val="0"/>
          <w:numId w:val="1001"/>
        </w:numPr>
        <w:pStyle w:val="Compact"/>
      </w:pPr>
      <w:r>
        <w:t xml:space="preserve">Model: llama3.2:3b (primary; 1B and qwen2.5:1.5b not yet run for this study — see Future Work).</w:t>
      </w:r>
    </w:p>
    <w:p>
      <w:pPr>
        <w:numPr>
          <w:ilvl w:val="0"/>
          <w:numId w:val="1001"/>
        </w:numPr>
        <w:pStyle w:val="Compact"/>
      </w:pPr>
      <w:r>
        <w:t xml:space="preserve">5 trials, clustering fixed, LLM sampling varied.</w:t>
      </w:r>
    </w:p>
    <w:p>
      <w:r>
        <w:pict>
          <v:rect style="width:0;height:1.5pt" o:hralign="center" o:hrstd="t" o:hr="t"/>
        </w:pict>
      </w:r>
    </w:p>
    <w:bookmarkEnd w:id="23"/>
    <w:bookmarkStart w:id="26" w:name="the-self-router-condition-as-built"/>
    <w:p>
      <w:pPr>
        <w:pStyle w:val="Heading1"/>
      </w:pPr>
      <w:r>
        <w:t xml:space="preserve">3. The Self-Router Condition (as built)</w:t>
      </w:r>
    </w:p>
    <w:bookmarkStart w:id="24" w:name="prompt-design"/>
    <w:p>
      <w:pPr>
        <w:pStyle w:val="Heading2"/>
      </w:pPr>
      <w:r>
        <w:t xml:space="preserve">3.1 Prompt design</w:t>
      </w:r>
    </w:p>
    <w:p>
      <w:pPr>
        <w:pStyle w:val="FirstParagraph"/>
      </w:pPr>
      <w:r>
        <w:t xml:space="preserve">One call per trial. The LLM receives cluster marker genes and returns, per cluster: a predicted label, a routing decision (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defer</w:t>
      </w:r>
      <w:r>
        <w:t xml:space="preserve">”</w:t>
      </w:r>
      <w:r>
        <w:t xml:space="preserve">), a one-sentence stated reason, and a 0–100 confidence score.</w:t>
      </w:r>
    </w:p>
    <w:p>
      <w:pPr>
        <w:pStyle w:val="BodyText"/>
      </w:pPr>
      <w:r>
        <w:rPr>
          <w:bCs/>
          <w:b/>
        </w:rPr>
        <w:t xml:space="preserve">Validity gate</w:t>
      </w:r>
      <w:r>
        <w:t xml:space="preserve">: if the model routes to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but its own label isn’t a genuine candidate label, the routing choice is forced to</w:t>
      </w:r>
      <w:r>
        <w:t xml:space="preserve"> </w:t>
      </w:r>
      <w:r>
        <w:t xml:space="preserve">“</w:t>
      </w:r>
      <w:r>
        <w:t xml:space="preserve">defer</w:t>
      </w:r>
      <w:r>
        <w:t xml:space="preserve">”</w:t>
      </w:r>
      <w:r>
        <w:t xml:space="preserve"> </w:t>
      </w:r>
      <w:r>
        <w:t xml:space="preserve">regardless of stated confidence — same principle as v1’s evaluator fix. This fired correctly in real runs (e.g. blind trial 3: a 97%-confidence invalid label</w:t>
      </w:r>
      <w:r>
        <w:t xml:space="preserve"> </w:t>
      </w:r>
      <w:r>
        <w:t xml:space="preserve">“</w:t>
      </w:r>
      <w:r>
        <w:t xml:space="preserve">Fake Type</w:t>
      </w:r>
      <w:r>
        <w:t xml:space="preserve">”</w:t>
      </w:r>
      <w:r>
        <w:t xml:space="preserve"> </w:t>
      </w:r>
      <w:r>
        <w:t xml:space="preserve">was overridden to defer).</w:t>
      </w:r>
    </w:p>
    <w:bookmarkEnd w:id="24"/>
    <w:bookmarkStart w:id="25" w:name="two-variants-run"/>
    <w:p>
      <w:pPr>
        <w:pStyle w:val="Heading2"/>
      </w:pPr>
      <w:r>
        <w:t xml:space="preserve">3.2 Two variants run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its own marker-gene input; no classical output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discrimination failure — net harmful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own label + classical’s label (not marked 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mechanically inert — zero discordant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results-complete-all-3-models"/>
    <w:p>
      <w:pPr>
        <w:pStyle w:val="Heading1"/>
      </w:pPr>
      <w:r>
        <w:t xml:space="preserve">4. RESULTS (complete: all 3 models)</w:t>
      </w:r>
    </w:p>
    <w:p>
      <w:pPr>
        <w:pStyle w:val="FirstParagraph"/>
      </w:pPr>
      <w:r>
        <w:rPr>
          <w:bCs/>
          <w:b/>
        </w:rPr>
        <w:t xml:space="preserve">Important correction during this study</w:t>
      </w:r>
      <w:r>
        <w:t xml:space="preserve">: an initial parser bug caused</w:t>
      </w:r>
      <w:r>
        <w:t xml:space="preserve"> </w:t>
      </w:r>
      <w:r>
        <w:t xml:space="preserve">llama3.2:1b’s responses to be almost entirely misread as PARSE_ERROR (the</w:t>
      </w:r>
      <w:r>
        <w:t xml:space="preserve"> </w:t>
      </w:r>
      <w:r>
        <w:t xml:space="preserve">model produces content-correct but structurally invalid outer JSON —</w:t>
      </w:r>
      <w:r>
        <w:t xml:space="preserve"> </w:t>
      </w:r>
      <w:r>
        <w:t xml:space="preserve">unclosed braces, or each cluster wrapped in its own stray extra braces</w:t>
      </w:r>
      <w:r>
        <w:t xml:space="preserve"> </w:t>
      </w:r>
      <w:r>
        <w:t xml:space="preserve">instead of being keys inside one object). This initially looked like a</w:t>
      </w:r>
      <w:r>
        <w:t xml:space="preserve"> </w:t>
      </w:r>
      <w:r>
        <w:t xml:space="preserve">“</w:t>
      </w:r>
      <w:r>
        <w:t xml:space="preserve">degenerate router always defers</w:t>
      </w:r>
      <w:r>
        <w:t xml:space="preserve">”</w:t>
      </w:r>
      <w:r>
        <w:t xml:space="preserve"> </w:t>
      </w:r>
      <w:r>
        <w:t xml:space="preserve">finding, matching the naive prediction</w:t>
      </w:r>
      <w:r>
        <w:t xml:space="preserve"> </w:t>
      </w:r>
      <w:r>
        <w:t xml:space="preserve">from v1’s arbitration study — but it was a parsing artifact, not real</w:t>
      </w:r>
      <w:r>
        <w:t xml:space="preserve"> </w:t>
      </w:r>
      <w:r>
        <w:t xml:space="preserve">model behavior. Fixed with a regex-based per-cluster fallback parser</w:t>
      </w:r>
      <w:r>
        <w:t xml:space="preserve"> </w:t>
      </w:r>
      <w:r>
        <w:t xml:space="preserve">(tries strict JSON first, falls back to scanning for each</w:t>
      </w:r>
      <w:r>
        <w:t xml:space="preserve"> </w:t>
      </w:r>
      <w:r>
        <w:rPr>
          <w:rStyle w:val="VerbatimChar"/>
        </w:rPr>
        <w:t xml:space="preserve">"&lt;cluster_id&gt;": {...}</w:t>
      </w:r>
      <w:r>
        <w:t xml:space="preserve"> </w:t>
      </w:r>
      <w:r>
        <w:t xml:space="preserve">block independently if strict parsing fails or is</w:t>
      </w:r>
      <w:r>
        <w:t xml:space="preserve"> </w:t>
      </w:r>
      <w:r>
        <w:t xml:space="preserve">incomplete), verified against the exact malformed strings that caused the</w:t>
      </w:r>
      <w:r>
        <w:t xml:space="preserve"> </w:t>
      </w:r>
      <w:r>
        <w:t xml:space="preserve">original failure.</w:t>
      </w:r>
      <w:r>
        <w:t xml:space="preserve"> </w:t>
      </w:r>
      <w:r>
        <w:rPr>
          <w:bCs/>
          <w:b/>
        </w:rPr>
        <w:t xml:space="preserve">This is itself a citable finding</w:t>
      </w:r>
      <w:r>
        <w:t xml:space="preserve">: weaker models</w:t>
      </w:r>
      <w:r>
        <w:t xml:space="preserve"> </w:t>
      </w:r>
      <w:r>
        <w:t xml:space="preserve">don’t necessarily route worse, they may simply format worse, and any</w:t>
      </w:r>
      <w:r>
        <w:t xml:space="preserve"> </w:t>
      </w:r>
      <w:r>
        <w:t xml:space="preserve">LLM-agent evaluation pipeline needs a parser robust to this before</w:t>
      </w:r>
      <w:r>
        <w:t xml:space="preserve"> </w:t>
      </w:r>
      <w:r>
        <w:t xml:space="preserve">drawing conclusions about</w:t>
      </w:r>
      <w:r>
        <w:t xml:space="preserve"> </w:t>
      </w:r>
      <w:r>
        <w:t xml:space="preserve">“</w:t>
      </w:r>
      <w:r>
        <w:t xml:space="preserve">model behavior.</w:t>
      </w:r>
      <w:r>
        <w:t xml:space="preserve">”</w:t>
      </w:r>
    </w:p>
    <w:bookmarkStart w:id="27" w:name="blind-self-routing-all-three-models"/>
    <w:p>
      <w:pPr>
        <w:pStyle w:val="Heading2"/>
      </w:pPr>
      <w:r>
        <w:t xml:space="preserve">4.1 Blind self-routing — all three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+0.632 (n=2, noisy)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qwen2.5:1.5b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Universal pattern across all three models</w:t>
      </w:r>
      <w:r>
        <w:t xml:space="preserve">: Delta_route is positive</w:t>
      </w:r>
      <w:r>
        <w:t xml:space="preserve"> </w:t>
      </w:r>
      <w:r>
        <w:t xml:space="preserve">for every model (weak genuine self-awareness signal exists), but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single model still substantially underperforms simply always deferring</w:t>
      </w:r>
      <w:r>
        <w:rPr>
          <w:bCs/>
          <w:b/>
        </w:rPr>
        <w:t xml:space="preserve"> </w:t>
      </w:r>
      <w:r>
        <w:rPr>
          <w:bCs/>
          <w:b/>
        </w:rPr>
        <w:t xml:space="preserve">to classical</w:t>
      </w:r>
      <w:r>
        <w:t xml:space="preserve"> </w:t>
      </w:r>
      <w:r>
        <w:t xml:space="preserve">(0.400–0.450 actual vs. 0.625 always-defer). The</w:t>
      </w:r>
      <w:r>
        <w:t xml:space="preserve"> </w:t>
      </w:r>
      <w:r>
        <w:t xml:space="preserve">confidence–correctness correlation is negative for all three models</w:t>
      </w:r>
      <w:r>
        <w:t xml:space="preserve"> </w:t>
      </w:r>
      <w:r>
        <w:t xml:space="preserve">(−0.139, −0.305, −0.323) — self-reported confidence should not be</w:t>
      </w:r>
      <w:r>
        <w:t xml:space="preserve"> </w:t>
      </w:r>
      <w:r>
        <w:t xml:space="preserve">trusted as a proxy for correctness, regardless of model size or family.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 models have a small amount of genuine signal about</w:t>
      </w:r>
      <w:r>
        <w:t xml:space="preserve"> </w:t>
      </w:r>
      <w:r>
        <w:t xml:space="preserve">their own reliability, but self-route far too often (40–50% of the time)</w:t>
      </w:r>
      <w:r>
        <w:t xml:space="preserve"> </w:t>
      </w:r>
      <w:r>
        <w:t xml:space="preserve">relative to how rarely they’re actually right when they do (12.5–20%</w:t>
      </w:r>
      <w:r>
        <w:t xml:space="preserve"> </w:t>
      </w:r>
      <w:r>
        <w:t xml:space="preserve">accuracy when self-routed) — the discrimination exists but isn’t strong</w:t>
      </w:r>
      <w:r>
        <w:t xml:space="preserve"> </w:t>
      </w:r>
      <w:r>
        <w:t xml:space="preserve">enough to overcome a high base error rate on self-generated answers.</w:t>
      </w:r>
    </w:p>
    <w:bookmarkEnd w:id="27"/>
    <w:bookmarkStart w:id="28" w:name="informed-self-routing-all-three-models"/>
    <w:p>
      <w:pPr>
        <w:pStyle w:val="Heading2"/>
      </w:pPr>
      <w:r>
        <w:t xml:space="preserve">4.2 Informed self-routing — all three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Acc(defer)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−0.133 (inverted)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llama3.2:1b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qwen2.5:1.5b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largest model (3b) shows complete anchoring collapse — routing</w:t>
      </w:r>
      <w:r>
        <w:rPr>
          <w:bCs/>
          <w:b/>
        </w:rPr>
        <w:t xml:space="preserve"> </w:t>
      </w:r>
      <w:r>
        <w:rPr>
          <w:bCs/>
          <w:b/>
        </w:rPr>
        <w:t xml:space="preserve">never once changed the outcome (0/40 discordant), and its discrimination</w:t>
      </w:r>
      <w:r>
        <w:rPr>
          <w:bCs/>
          <w:b/>
        </w:rPr>
        <w:t xml:space="preserve"> </w:t>
      </w:r>
      <w:r>
        <w:rPr>
          <w:bCs/>
          <w:b/>
        </w:rPr>
        <w:t xml:space="preserve">is actually inverted.</w:t>
      </w:r>
      <w:r>
        <w:t xml:space="preserve"> </w:t>
      </w:r>
      <w:r>
        <w:t xml:space="preserve">Both smaller models show real, if modest,</w:t>
      </w:r>
      <w:r>
        <w:t xml:space="preserve"> </w:t>
      </w:r>
      <w:r>
        <w:t xml:space="preserve">independent judgment: discordant cases exist (12.5%, 15.0%) and</w:t>
      </w:r>
      <w:r>
        <w:t xml:space="preserve"> </w:t>
      </w:r>
      <w:r>
        <w:t xml:space="preserve">Delta_route is positive for both. However, only llama3.2:1b’s informed</w:t>
      </w:r>
      <w:r>
        <w:t xml:space="preserve"> </w:t>
      </w:r>
      <w:r>
        <w:t xml:space="preserve">routing actually beats its own prevalence-matched baseline (+0.053);</w:t>
      </w:r>
      <w:r>
        <w:t xml:space="preserve"> </w:t>
      </w:r>
      <w:r>
        <w:t xml:space="preserve">qwen2.5:1.5b does not (−0.010), despite positive discrimination — because</w:t>
      </w:r>
      <w:r>
        <w:t xml:space="preserve"> </w:t>
      </w:r>
      <w:r>
        <w:t xml:space="preserve">it self-routes very frequently (65%) while only recovering 20% of</w:t>
      </w:r>
      <w:r>
        <w:t xml:space="preserve"> </w:t>
      </w:r>
      <w:r>
        <w:t xml:space="preserve">available oracle headroom, i.e. it’s confidently wrong often enough to</w:t>
      </w:r>
      <w:r>
        <w:t xml:space="preserve"> </w:t>
      </w:r>
      <w:r>
        <w:t xml:space="preserve">erase the benefit of the cases it gets right.</w:t>
      </w:r>
    </w:p>
    <w:p>
      <w:pPr>
        <w:pStyle w:val="BodyText"/>
      </w:pPr>
      <w:r>
        <w:rPr>
          <w:bCs/>
          <w:b/>
        </w:rPr>
        <w:t xml:space="preserve">This is a genuinely counterintuitive, non-obvious finding</w:t>
      </w:r>
      <w:r>
        <w:t xml:space="preserve">: showing</w:t>
      </w:r>
      <w:r>
        <w:t xml:space="preserve"> </w:t>
      </w:r>
      <w:r>
        <w:t xml:space="preserve">the model a reference answer causes the</w:t>
      </w:r>
      <w:r>
        <w:t xml:space="preserve"> </w:t>
      </w:r>
      <w:r>
        <w:rPr>
          <w:iCs/>
          <w:i/>
        </w:rPr>
        <w:t xml:space="preserve">largest</w:t>
      </w:r>
      <w:r>
        <w:t xml:space="preserve"> </w:t>
      </w:r>
      <w:r>
        <w:t xml:space="preserve">model tested to anchor</w:t>
      </w:r>
      <w:r>
        <w:t xml:space="preserve"> </w:t>
      </w:r>
      <w:r>
        <w:t xml:space="preserve">on it completely, while the two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models retain more independent</w:t>
      </w:r>
      <w:r>
        <w:t xml:space="preserve"> </w:t>
      </w:r>
      <w:r>
        <w:t xml:space="preserve">judgment. This is the opposite of what model-capability scaling alone</w:t>
      </w:r>
      <w:r>
        <w:t xml:space="preserve"> </w:t>
      </w:r>
      <w:r>
        <w:t xml:space="preserve">would predict, and is worth its own discussion in the writeup — larger</w:t>
      </w:r>
      <w:r>
        <w:t xml:space="preserve"> </w:t>
      </w:r>
      <w:r>
        <w:t xml:space="preserve">models may be more susceptible to anchoring on a shown</w:t>
      </w:r>
      <w:r>
        <w:t xml:space="preserve"> </w:t>
      </w:r>
      <w:r>
        <w:t xml:space="preserve">“</w:t>
      </w:r>
      <w:r>
        <w:t xml:space="preserve">second opinion,</w:t>
      </w:r>
      <w:r>
        <w:t xml:space="preserve">”</w:t>
      </w:r>
      <w:r>
        <w:t xml:space="preserve"> </w:t>
      </w:r>
      <w:r>
        <w:t xml:space="preserve">not less.</w:t>
      </w:r>
    </w:p>
    <w:bookmarkEnd w:id="28"/>
    <w:bookmarkStart w:id="29" w:name="X4859a48be4147959705e3b00e13ddfb54c90eab"/>
    <w:p>
      <w:pPr>
        <w:pStyle w:val="Heading2"/>
      </w:pPr>
      <w:r>
        <w:t xml:space="preserve">4.3 Summary across both variants and all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genuine self-awareness (Delta_route &gt; 0 for all 3), but net harmful vs. always-defer for all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Model-dependent: 3b anchors completely (0% discordant), smaller models retain real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correlation for all 3 models — self-reported confidence is not trustworthy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primary lens here — routing frequency vs. discrimination strength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 across models?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same qualitative pattern, all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3b is qualitatively different from 1b/qwen2.5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a26a845f042ac0db80bd37e64fc5e1b088d4c40"/>
    <w:p>
      <w:pPr>
        <w:pStyle w:val="Heading1"/>
      </w:pPr>
      <w:r>
        <w:t xml:space="preserve">5. Updated Hypothesis Table (was Section 6,</w:t>
      </w:r>
      <w:r>
        <w:t xml:space="preserve"> </w:t>
      </w:r>
      <w:r>
        <w:t xml:space="preserve">“</w:t>
      </w:r>
      <w:r>
        <w:t xml:space="preserve">Predicted Outcomes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confirm/refute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H1: Small models can’t self-assess reliably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Self-chosen accuracy ≈ defer-chosen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for blind, all 3 models</w:t>
            </w:r>
            <w:r>
              <w:t xml:space="preserve"> </w:t>
            </w:r>
            <w:r>
              <w:t xml:space="preserve">— self-chosen accuracy (0.125–0.200) far below defer-chosen (0.565–0.700) universally.</w:t>
            </w:r>
            <w:r>
              <w:t xml:space="preserve"> </w:t>
            </w:r>
            <w:r>
              <w:rPr>
                <w:bCs/>
                <w:b/>
              </w:rPr>
              <w:t xml:space="preserve">Model-dependent for informed</w:t>
            </w:r>
            <w:r>
              <w:t xml:space="preserve"> </w:t>
            </w:r>
            <w:r>
              <w:t xml:space="preserve">— 3b shows complete inertness (0/40 discordant), but 1b and qwen2.5 retain measurable independent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H2: 1B model routes degenerately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 variance in routing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Refuted, once the parser bug was fixed.</w:t>
            </w:r>
            <w:r>
              <w:t xml:space="preserve"> </w:t>
            </w:r>
            <w:r>
              <w:t xml:space="preserve">Initial data appeared to confirm this but was an artifact of malformed JSON being silently defaulted to</w:t>
            </w:r>
            <w:r>
              <w:t xml:space="preserve"> </w:t>
            </w:r>
            <w:r>
              <w:t xml:space="preserve">“</w:t>
            </w:r>
            <w:r>
              <w:t xml:space="preserve">defer.</w:t>
            </w:r>
            <w:r>
              <w:t xml:space="preserve">”</w:t>
            </w:r>
            <w:r>
              <w:t xml:space="preserve"> </w:t>
            </w:r>
            <w:r>
              <w:t xml:space="preserve">After fixing the parser, llama3.2:1b shows self-rates of 40.0% (blind) and 42.5% (informed) — genuinely varied, not degenerate.</w:t>
            </w:r>
            <w:r>
              <w:t xml:space="preserve"> </w:t>
            </w:r>
            <w:r>
              <w:rPr>
                <w:bCs/>
                <w:b/>
              </w:rPr>
              <w:t xml:space="preserve">The real finding is the opposite of predicted</w:t>
            </w:r>
            <w:r>
              <w:t xml:space="preserve">: the smallest model was NOT the most degenerate router; if anything, the</w:t>
            </w:r>
            <w:r>
              <w:t xml:space="preserve"> </w:t>
            </w:r>
            <w:r>
              <w:rPr>
                <w:iCs/>
                <w:i/>
              </w:rPr>
              <w:t xml:space="preserve">largest</w:t>
            </w:r>
            <w:r>
              <w:t xml:space="preserve"> </w:t>
            </w:r>
            <w:r>
              <w:t xml:space="preserve">model (3b) showed the most degenerate behavior in the informed variant (complete anchoring)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H3: Routing confidence is miscalibrated like label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monotonic relationship between confidence and routing correctness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for blind, all 3 models</w:t>
            </w:r>
            <w:r>
              <w:t xml:space="preserve"> </w:t>
            </w:r>
            <w:r>
              <w:t xml:space="preserve">(correlations −0.139, −0.305, −0.323 — consistently negative).</w:t>
            </w:r>
            <w:r>
              <w:t xml:space="preserve"> </w:t>
            </w:r>
            <w:r>
              <w:rPr>
                <w:bCs/>
                <w:b/>
              </w:rPr>
              <w:t xml:space="preserve">Mixed for informed</w:t>
            </w:r>
            <w:r>
              <w:t xml:space="preserve"> </w:t>
            </w:r>
            <w:r>
              <w:t xml:space="preserve">— routing frequency and discrimination strength matter more than confidence calibration specifically in this variant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maining-future-work"/>
    <w:p>
      <w:pPr>
        <w:pStyle w:val="Heading1"/>
      </w:pPr>
      <w:r>
        <w:t xml:space="preserve">6. Remaining / Future 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Qualitative hand-coding (§5.4 of original design)</w:t>
      </w:r>
      <w:r>
        <w:t xml:space="preserve">: still needed to properly characterize the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category reasons across all 3 models — the automated heuristic is a starting point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Anchoring mechanism for informed 3b</w:t>
      </w:r>
      <w:r>
        <w:t xml:space="preserve">: current data cannot fully distinguish</w:t>
      </w:r>
      <w:r>
        <w:t xml:space="preserve"> </w:t>
      </w:r>
      <w:r>
        <w:t xml:space="preserve">“</w:t>
      </w:r>
      <w:r>
        <w:t xml:space="preserve">3b specifically anchors on shown labels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3b’s independent judgment happens to coincide with classical’s on this dataset</w:t>
      </w:r>
      <w:r>
        <w:t xml:space="preserve">”</w:t>
      </w:r>
      <w:r>
        <w:t xml:space="preserve"> </w:t>
      </w:r>
      <w:r>
        <w:t xml:space="preserve">— the cross-model contrast (1b and qwen2.5 both show real discordance, 3b shows none) makes the anchoring explanation more plausible than before, but a targeted follow-up (e.g. deliberately showing an INCORRECT classical label and seeing whether 3b still follows it) would be a clean, cheap way to test this directly if pursued further.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Parser robustness note for methods section</w:t>
      </w:r>
      <w:r>
        <w:t xml:space="preserve">: the JSON-parsing lesson (structurally invalid but content-correct responses from weaker models) is now a citable methodological point in its own right, alongside the two bugs from v1 (label-vocabulary mismatch, invalid-option arbitration).</w:t>
      </w:r>
    </w:p>
    <w:p>
      <w:r>
        <w:pict>
          <v:rect style="width:0;height:1.5pt" o:hralign="center" o:hrstd="t" o:hr="t"/>
        </w:pict>
      </w:r>
    </w:p>
    <w:bookmarkEnd w:id="32"/>
    <w:bookmarkStart w:id="33" w:name="Xb7480f052f81503351ef1d612e00cda589e4e47"/>
    <w:p>
      <w:pPr>
        <w:pStyle w:val="Heading1"/>
      </w:pPr>
      <w:r>
        <w:t xml:space="preserve">7. Why This Is a Distinct Paper, Not Just an Extra Table</w:t>
      </w:r>
    </w:p>
    <w:p>
      <w:pPr>
        <w:numPr>
          <w:ilvl w:val="0"/>
          <w:numId w:val="1003"/>
        </w:numPr>
        <w:pStyle w:val="Compact"/>
      </w:pPr>
      <w:r>
        <w:t xml:space="preserve">v1 studies: given a fixed reconciliation rule, how well does the system perform?</w:t>
      </w:r>
    </w:p>
    <w:p>
      <w:pPr>
        <w:numPr>
          <w:ilvl w:val="0"/>
          <w:numId w:val="1003"/>
        </w:numPr>
        <w:pStyle w:val="Compact"/>
      </w:pPr>
      <w:r>
        <w:t xml:space="preserve">This studies: can the system’s own component be trusted to pick the reconciliation rule? A question about model self-knowledge, not orchestration architecture.</w:t>
      </w:r>
    </w:p>
    <w:p>
      <w:pPr>
        <w:numPr>
          <w:ilvl w:val="0"/>
          <w:numId w:val="1003"/>
        </w:numPr>
        <w:pStyle w:val="Compact"/>
      </w:pPr>
      <w:r>
        <w:t xml:space="preserve">It directly extends v1’s miscalibration finding (§5.4: is stated confidence about a</w:t>
      </w:r>
      <w:r>
        <w:t xml:space="preserve"> </w:t>
      </w:r>
      <w:r>
        <w:rPr>
          <w:iCs/>
          <w:i/>
        </w:rPr>
        <w:t xml:space="preserve">label</w:t>
      </w:r>
      <w:r>
        <w:t xml:space="preserve"> </w:t>
      </w:r>
      <w:r>
        <w:t xml:space="preserve">reliable) to a meta-level (is stated confidence about the model’s own</w:t>
      </w:r>
      <w:r>
        <w:t xml:space="preserve"> </w:t>
      </w:r>
      <w:r>
        <w:rPr>
          <w:iCs/>
          <w:i/>
        </w:rPr>
        <w:t xml:space="preserve">reliability</w:t>
      </w:r>
      <w:r>
        <w:t xml:space="preserve"> </w:t>
      </w:r>
      <w:r>
        <w:t xml:space="preserve">reliable) — and finds the same problem shows up in two structurally different ways depending on what information the model has access to.</w:t>
      </w:r>
    </w:p>
    <w:p>
      <w:r>
        <w:pict>
          <v:rect style="width:0;height:1.5pt" o:hralign="center" o:hrstd="t" o:hr="t"/>
        </w:pict>
      </w:r>
    </w:p>
    <w:bookmarkEnd w:id="33"/>
    <w:bookmarkStart w:id="34" w:name="X05b82f70742d02e25352181c65e985959db62c8"/>
    <w:p>
      <w:pPr>
        <w:pStyle w:val="Heading1"/>
      </w:pPr>
      <w:r>
        <w:t xml:space="preserve">8. Reuse Checklist from v1 Codebase (confirmed working)</w:t>
      </w:r>
    </w:p>
    <w:p>
      <w:pPr>
        <w:numPr>
          <w:ilvl w:val="0"/>
          <w:numId w:val="1004"/>
        </w:numPr>
        <w:pStyle w:val="Compact"/>
      </w:pPr>
      <w:r>
        <w:t xml:space="preserve">Preprocessing/clustering script — reused as-is. ✅</w:t>
      </w:r>
    </w:p>
    <w:p>
      <w:pPr>
        <w:numPr>
          <w:ilvl w:val="0"/>
          <w:numId w:val="1004"/>
        </w:numPr>
        <w:pStyle w:val="Compact"/>
      </w:pPr>
      <w:r>
        <w:t xml:space="preserve">Classical score_genes specialist — reused, extended with confidence margin. ✅</w:t>
      </w:r>
    </w:p>
    <w:p>
      <w:pPr>
        <w:numPr>
          <w:ilvl w:val="0"/>
          <w:numId w:val="1004"/>
        </w:numPr>
        <w:pStyle w:val="Compact"/>
      </w:pPr>
      <w:r>
        <w:t xml:space="preserve">Validity-gate logic — reused, confirmed firing correctly in real runs. ✅</w:t>
      </w:r>
    </w:p>
    <w:p>
      <w:pPr>
        <w:numPr>
          <w:ilvl w:val="0"/>
          <w:numId w:val="1004"/>
        </w:numPr>
        <w:pStyle w:val="Compact"/>
      </w:pPr>
      <w:r>
        <w:t xml:space="preserve">Per-cluster analysis logging — new (</w:t>
      </w:r>
      <w:r>
        <w:rPr>
          <w:rStyle w:val="VerbatimChar"/>
        </w:rPr>
        <w:t xml:space="preserve">self_routing_percluster_log.csv</w:t>
      </w:r>
      <w:r>
        <w:t xml:space="preserve">), tested and working. ✅</w:t>
      </w:r>
    </w:p>
    <w:p>
      <w:pPr>
        <w:numPr>
          <w:ilvl w:val="0"/>
          <w:numId w:val="1004"/>
        </w:numPr>
        <w:pStyle w:val="Compact"/>
      </w:pPr>
      <w:r>
        <w:t xml:space="preserve">New code built:</w:t>
      </w:r>
      <w:r>
        <w:t xml:space="preserve"> </w:t>
      </w:r>
      <w:r>
        <w:rPr>
          <w:rStyle w:val="VerbatimChar"/>
        </w:rPr>
        <w:t xml:space="preserve">self_routing.py</w:t>
      </w:r>
      <w:r>
        <w:t xml:space="preserve"> </w:t>
      </w:r>
      <w:r>
        <w:t xml:space="preserve">(prompts, parser, gate),</w:t>
      </w:r>
      <w:r>
        <w:t xml:space="preserve"> </w:t>
      </w:r>
      <w:r>
        <w:rPr>
          <w:rStyle w:val="VerbatimChar"/>
        </w:rPr>
        <w:t xml:space="preserve">run_self_routing.py</w:t>
      </w:r>
      <w:r>
        <w:t xml:space="preserve"> </w:t>
      </w:r>
      <w:r>
        <w:t xml:space="preserve">(CLI),</w:t>
      </w:r>
      <w:r>
        <w:t xml:space="preserve"> </w:t>
      </w:r>
      <w:r>
        <w:rPr>
          <w:rStyle w:val="VerbatimChar"/>
        </w:rPr>
        <w:t xml:space="preserve">analyze_self_routing.py</w:t>
      </w:r>
      <w:r>
        <w:t xml:space="preserve"> </w:t>
      </w:r>
      <w:r>
        <w:t xml:space="preserve">(5.1/5.1b/5.2/5.3/5.4 analyses). ✅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2026-08-10T01:51:11Z</dcterms:created>
  <dcterms:modified xsi:type="dcterms:W3CDTF">2026-08-10T01:51:11Z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