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7D43" w:rsidRPr="004B7DF7" w:rsidRDefault="00D40C93" w:rsidP="00505724">
      <w:pPr>
        <w:rPr>
          <w:rFonts w:eastAsia="华文楷体"/>
          <w:sz w:val="24"/>
          <w:szCs w:val="24"/>
        </w:rPr>
      </w:pPr>
      <w:r w:rsidRPr="004B7DF7">
        <w:rPr>
          <w:rFonts w:eastAsia="华文楷体" w:hint="eastAsia"/>
          <w:sz w:val="24"/>
          <w:szCs w:val="24"/>
        </w:rPr>
        <w:t>新型硬盘借口——串行</w:t>
      </w:r>
      <w:r w:rsidRPr="004B7DF7">
        <w:rPr>
          <w:rFonts w:eastAsia="华文楷体" w:hint="eastAsia"/>
          <w:sz w:val="24"/>
          <w:szCs w:val="24"/>
        </w:rPr>
        <w:t>ATA</w:t>
      </w:r>
      <w:r w:rsidRPr="004B7DF7">
        <w:rPr>
          <w:rFonts w:eastAsia="华文楷体" w:hint="eastAsia"/>
          <w:sz w:val="24"/>
          <w:szCs w:val="24"/>
        </w:rPr>
        <w:t>及</w:t>
      </w:r>
      <w:r w:rsidRPr="004B7DF7">
        <w:rPr>
          <w:rFonts w:eastAsia="华文楷体" w:hint="eastAsia"/>
          <w:sz w:val="24"/>
          <w:szCs w:val="24"/>
        </w:rPr>
        <w:t>UltraATA133</w:t>
      </w:r>
    </w:p>
    <w:p w:rsidR="001A7D43" w:rsidRPr="004B7DF7" w:rsidRDefault="00D40C93" w:rsidP="00505724">
      <w:pPr>
        <w:rPr>
          <w:rFonts w:eastAsia="华文楷体"/>
          <w:sz w:val="24"/>
          <w:szCs w:val="24"/>
        </w:rPr>
      </w:pPr>
      <w:r w:rsidRPr="004B7DF7">
        <w:rPr>
          <w:rFonts w:eastAsia="华文楷体" w:hint="eastAsia"/>
          <w:sz w:val="24"/>
          <w:szCs w:val="24"/>
        </w:rPr>
        <w:t>随着硬盘容量和速度的飞速增加，硬盘借口也经历了很多次革命性的改变，从最早的</w:t>
      </w:r>
      <w:r w:rsidRPr="004B7DF7">
        <w:rPr>
          <w:rFonts w:eastAsia="华文楷体" w:hint="eastAsia"/>
          <w:sz w:val="24"/>
          <w:szCs w:val="24"/>
        </w:rPr>
        <w:t>PIO</w:t>
      </w:r>
      <w:r w:rsidRPr="004B7DF7">
        <w:rPr>
          <w:rFonts w:eastAsia="华文楷体" w:hint="eastAsia"/>
          <w:sz w:val="24"/>
          <w:szCs w:val="24"/>
        </w:rPr>
        <w:t>模式到今天的串行</w:t>
      </w:r>
      <w:r w:rsidRPr="004B7DF7">
        <w:rPr>
          <w:rFonts w:eastAsia="华文楷体" w:hint="eastAsia"/>
          <w:sz w:val="24"/>
          <w:szCs w:val="24"/>
        </w:rPr>
        <w:t>ATA</w:t>
      </w:r>
      <w:r w:rsidRPr="004B7DF7">
        <w:rPr>
          <w:rFonts w:eastAsia="华文楷体" w:hint="eastAsia"/>
          <w:sz w:val="24"/>
          <w:szCs w:val="24"/>
        </w:rPr>
        <w:t>及</w:t>
      </w:r>
      <w:r w:rsidRPr="004B7DF7">
        <w:rPr>
          <w:rFonts w:eastAsia="华文楷体" w:hint="eastAsia"/>
          <w:sz w:val="24"/>
          <w:szCs w:val="24"/>
        </w:rPr>
        <w:t>UltraATA133</w:t>
      </w:r>
      <w:r w:rsidRPr="004B7DF7">
        <w:rPr>
          <w:rFonts w:eastAsia="华文楷体" w:hint="eastAsia"/>
          <w:sz w:val="24"/>
          <w:szCs w:val="24"/>
        </w:rPr>
        <w:t>，传输速率已经翻了几十倍。</w:t>
      </w:r>
    </w:p>
    <w:p w:rsidR="001A7D43" w:rsidRPr="004B7DF7" w:rsidRDefault="00D40C93" w:rsidP="00505724">
      <w:pPr>
        <w:rPr>
          <w:rFonts w:eastAsia="华文楷体"/>
          <w:sz w:val="24"/>
          <w:szCs w:val="24"/>
        </w:rPr>
      </w:pPr>
      <w:r w:rsidRPr="004B7DF7">
        <w:rPr>
          <w:rFonts w:eastAsia="华文楷体" w:hint="eastAsia"/>
          <w:sz w:val="24"/>
          <w:szCs w:val="24"/>
        </w:rPr>
        <w:t>随着硬盘内部传输率逐渐上升，外部借口也必须提高传输速率才不至于成为数据传输时的瓶颈，在这种环境下，串行</w:t>
      </w:r>
      <w:r w:rsidRPr="004B7DF7">
        <w:rPr>
          <w:rFonts w:eastAsia="华文楷体" w:hint="eastAsia"/>
          <w:sz w:val="24"/>
          <w:szCs w:val="24"/>
        </w:rPr>
        <w:t>ATA</w:t>
      </w:r>
      <w:r w:rsidRPr="004B7DF7">
        <w:rPr>
          <w:rFonts w:eastAsia="华文楷体" w:hint="eastAsia"/>
          <w:sz w:val="24"/>
          <w:szCs w:val="24"/>
        </w:rPr>
        <w:t>及</w:t>
      </w:r>
      <w:r w:rsidRPr="004B7DF7">
        <w:rPr>
          <w:rFonts w:eastAsia="华文楷体" w:hint="eastAsia"/>
          <w:sz w:val="24"/>
          <w:szCs w:val="24"/>
        </w:rPr>
        <w:t>UltraATA133</w:t>
      </w:r>
      <w:r w:rsidRPr="004B7DF7">
        <w:rPr>
          <w:rFonts w:eastAsia="华文楷体" w:hint="eastAsia"/>
          <w:sz w:val="24"/>
          <w:szCs w:val="24"/>
        </w:rPr>
        <w:t>规范诞生了。</w:t>
      </w:r>
    </w:p>
    <w:p w:rsidR="001A7D43" w:rsidRPr="004B7DF7" w:rsidRDefault="00D40C93" w:rsidP="00505724">
      <w:pPr>
        <w:rPr>
          <w:rFonts w:eastAsia="华文楷体"/>
          <w:sz w:val="24"/>
          <w:szCs w:val="24"/>
        </w:rPr>
      </w:pPr>
      <w:r w:rsidRPr="004B7DF7">
        <w:rPr>
          <w:rFonts w:eastAsia="华文楷体" w:hint="eastAsia"/>
          <w:sz w:val="24"/>
          <w:szCs w:val="24"/>
        </w:rPr>
        <w:t>串行</w:t>
      </w:r>
      <w:r w:rsidRPr="004B7DF7">
        <w:rPr>
          <w:rFonts w:eastAsia="华文楷体" w:hint="eastAsia"/>
          <w:sz w:val="24"/>
          <w:szCs w:val="24"/>
        </w:rPr>
        <w:t>ATA</w:t>
      </w:r>
      <w:r w:rsidRPr="004B7DF7">
        <w:rPr>
          <w:rFonts w:eastAsia="华文楷体" w:hint="eastAsia"/>
          <w:sz w:val="24"/>
          <w:szCs w:val="24"/>
        </w:rPr>
        <w:t>规范是计算机行业工作组（</w:t>
      </w:r>
      <w:r w:rsidRPr="004B7DF7">
        <w:rPr>
          <w:rFonts w:eastAsia="华文楷体" w:hint="eastAsia"/>
          <w:sz w:val="24"/>
          <w:szCs w:val="24"/>
        </w:rPr>
        <w:t>Computer Industry's Working Group</w:t>
      </w:r>
      <w:r w:rsidRPr="004B7DF7">
        <w:rPr>
          <w:rFonts w:eastAsia="华文楷体" w:hint="eastAsia"/>
          <w:sz w:val="24"/>
          <w:szCs w:val="24"/>
        </w:rPr>
        <w:t>）制定的，它采用与并行</w:t>
      </w:r>
      <w:r w:rsidRPr="004B7DF7">
        <w:rPr>
          <w:rFonts w:eastAsia="华文楷体" w:hint="eastAsia"/>
          <w:sz w:val="24"/>
          <w:szCs w:val="24"/>
        </w:rPr>
        <w:t>ATA</w:t>
      </w:r>
      <w:r w:rsidRPr="004B7DF7">
        <w:rPr>
          <w:rFonts w:eastAsia="华文楷体" w:hint="eastAsia"/>
          <w:sz w:val="24"/>
          <w:szCs w:val="24"/>
        </w:rPr>
        <w:t>借口相同的传输协议，但硬件借口则不同，串行</w:t>
      </w:r>
      <w:r w:rsidRPr="004B7DF7">
        <w:rPr>
          <w:rFonts w:eastAsia="华文楷体" w:hint="eastAsia"/>
          <w:sz w:val="24"/>
          <w:szCs w:val="24"/>
        </w:rPr>
        <w:t>ATA</w:t>
      </w:r>
      <w:r w:rsidRPr="004B7DF7">
        <w:rPr>
          <w:rFonts w:eastAsia="华文楷体" w:hint="eastAsia"/>
          <w:sz w:val="24"/>
          <w:szCs w:val="24"/>
        </w:rPr>
        <w:t>借口的电压更低，而且数据线也更少。</w:t>
      </w:r>
      <w:r w:rsidRPr="004B7DF7">
        <w:rPr>
          <w:rFonts w:eastAsia="华文楷体" w:hint="eastAsia"/>
          <w:sz w:val="24"/>
          <w:szCs w:val="24"/>
        </w:rPr>
        <w:t xml:space="preserve"> </w:t>
      </w:r>
      <w:bookmarkStart w:id="0" w:name="_GoBack"/>
      <w:bookmarkEnd w:id="0"/>
    </w:p>
    <w:p w:rsidR="001A7D43" w:rsidRPr="004B7DF7" w:rsidRDefault="00D40C93" w:rsidP="00505724">
      <w:pPr>
        <w:rPr>
          <w:rFonts w:eastAsia="华文楷体"/>
          <w:sz w:val="24"/>
          <w:szCs w:val="24"/>
        </w:rPr>
      </w:pPr>
      <w:r w:rsidRPr="004B7DF7">
        <w:rPr>
          <w:rFonts w:eastAsia="华文楷体" w:hint="eastAsia"/>
          <w:sz w:val="24"/>
          <w:szCs w:val="24"/>
        </w:rPr>
        <w:t>UltraATA133</w:t>
      </w:r>
      <w:r w:rsidRPr="004B7DF7">
        <w:rPr>
          <w:rFonts w:eastAsia="华文楷体" w:hint="eastAsia"/>
          <w:sz w:val="24"/>
          <w:szCs w:val="24"/>
        </w:rPr>
        <w:t>是</w:t>
      </w:r>
      <w:r w:rsidRPr="004B7DF7">
        <w:rPr>
          <w:rFonts w:eastAsia="华文楷体" w:hint="eastAsia"/>
          <w:sz w:val="24"/>
          <w:szCs w:val="24"/>
        </w:rPr>
        <w:t>Maxtor</w:t>
      </w:r>
      <w:r w:rsidRPr="004B7DF7">
        <w:rPr>
          <w:rFonts w:eastAsia="华文楷体" w:hint="eastAsia"/>
          <w:sz w:val="24"/>
          <w:szCs w:val="24"/>
        </w:rPr>
        <w:t>公司提出的，是</w:t>
      </w:r>
      <w:r w:rsidRPr="004B7DF7">
        <w:rPr>
          <w:rFonts w:eastAsia="华文楷体" w:hint="eastAsia"/>
          <w:sz w:val="24"/>
          <w:szCs w:val="24"/>
        </w:rPr>
        <w:t>UltraATA100</w:t>
      </w:r>
      <w:r w:rsidRPr="004B7DF7">
        <w:rPr>
          <w:rFonts w:eastAsia="华文楷体" w:hint="eastAsia"/>
          <w:sz w:val="24"/>
          <w:szCs w:val="24"/>
        </w:rPr>
        <w:t>的后续规范，但它并没有得到</w:t>
      </w:r>
      <w:r w:rsidRPr="004B7DF7">
        <w:rPr>
          <w:rFonts w:eastAsia="华文楷体" w:hint="eastAsia"/>
          <w:sz w:val="24"/>
          <w:szCs w:val="24"/>
        </w:rPr>
        <w:t>ATA</w:t>
      </w:r>
      <w:r w:rsidRPr="004B7DF7">
        <w:rPr>
          <w:rFonts w:eastAsia="华文楷体" w:hint="eastAsia"/>
          <w:sz w:val="24"/>
          <w:szCs w:val="24"/>
        </w:rPr>
        <w:t>官方组织</w:t>
      </w:r>
      <w:r w:rsidRPr="004B7DF7">
        <w:rPr>
          <w:rFonts w:eastAsia="华文楷体" w:hint="eastAsia"/>
          <w:sz w:val="24"/>
          <w:szCs w:val="24"/>
        </w:rPr>
        <w:t>T13</w:t>
      </w:r>
      <w:r w:rsidRPr="004B7DF7">
        <w:rPr>
          <w:rFonts w:eastAsia="华文楷体" w:hint="eastAsia"/>
          <w:sz w:val="24"/>
          <w:szCs w:val="24"/>
        </w:rPr>
        <w:t>的正式认可，所以严格说来，</w:t>
      </w:r>
      <w:r w:rsidRPr="004B7DF7">
        <w:rPr>
          <w:rFonts w:eastAsia="华文楷体" w:hint="eastAsia"/>
          <w:sz w:val="24"/>
          <w:szCs w:val="24"/>
        </w:rPr>
        <w:t>UltraATA133</w:t>
      </w:r>
      <w:r w:rsidRPr="004B7DF7">
        <w:rPr>
          <w:rFonts w:eastAsia="华文楷体" w:hint="eastAsia"/>
          <w:sz w:val="24"/>
          <w:szCs w:val="24"/>
        </w:rPr>
        <w:t>应该算是企业规范而</w:t>
      </w:r>
      <w:proofErr w:type="gramStart"/>
      <w:r w:rsidRPr="004B7DF7">
        <w:rPr>
          <w:rFonts w:eastAsia="华文楷体" w:hint="eastAsia"/>
          <w:sz w:val="24"/>
          <w:szCs w:val="24"/>
        </w:rPr>
        <w:t>非行业</w:t>
      </w:r>
      <w:proofErr w:type="gramEnd"/>
      <w:r w:rsidRPr="004B7DF7">
        <w:rPr>
          <w:rFonts w:eastAsia="华文楷体" w:hint="eastAsia"/>
          <w:sz w:val="24"/>
          <w:szCs w:val="24"/>
        </w:rPr>
        <w:t>规范，或许直接叫它“</w:t>
      </w:r>
      <w:r w:rsidRPr="004B7DF7">
        <w:rPr>
          <w:rFonts w:eastAsia="华文楷体" w:hint="eastAsia"/>
          <w:sz w:val="24"/>
          <w:szCs w:val="24"/>
        </w:rPr>
        <w:t xml:space="preserve">Fast </w:t>
      </w:r>
      <w:proofErr w:type="spellStart"/>
      <w:r w:rsidRPr="004B7DF7">
        <w:rPr>
          <w:rFonts w:eastAsia="华文楷体" w:hint="eastAsia"/>
          <w:sz w:val="24"/>
          <w:szCs w:val="24"/>
        </w:rPr>
        <w:t>Dirves</w:t>
      </w:r>
      <w:proofErr w:type="spellEnd"/>
      <w:r w:rsidRPr="004B7DF7">
        <w:rPr>
          <w:rFonts w:eastAsia="华文楷体" w:hint="eastAsia"/>
          <w:sz w:val="24"/>
          <w:szCs w:val="24"/>
        </w:rPr>
        <w:t>”更为妥当。</w:t>
      </w:r>
      <w:r w:rsidRPr="004B7DF7">
        <w:rPr>
          <w:rFonts w:eastAsia="华文楷体" w:hint="eastAsia"/>
          <w:sz w:val="24"/>
          <w:szCs w:val="24"/>
        </w:rPr>
        <w:t xml:space="preserve"> </w:t>
      </w:r>
    </w:p>
    <w:p w:rsidR="001A7D43" w:rsidRPr="004B7DF7" w:rsidRDefault="00D40C93" w:rsidP="00505724">
      <w:pPr>
        <w:rPr>
          <w:rFonts w:eastAsia="华文楷体"/>
          <w:sz w:val="24"/>
          <w:szCs w:val="24"/>
        </w:rPr>
      </w:pPr>
      <w:r w:rsidRPr="004B7DF7">
        <w:rPr>
          <w:rFonts w:eastAsia="华文楷体" w:hint="eastAsia"/>
          <w:sz w:val="24"/>
          <w:szCs w:val="24"/>
        </w:rPr>
        <w:t>由于串行</w:t>
      </w:r>
      <w:r w:rsidRPr="004B7DF7">
        <w:rPr>
          <w:rFonts w:eastAsia="华文楷体" w:hint="eastAsia"/>
          <w:sz w:val="24"/>
          <w:szCs w:val="24"/>
        </w:rPr>
        <w:t>ATA</w:t>
      </w:r>
      <w:r w:rsidRPr="004B7DF7">
        <w:rPr>
          <w:rFonts w:eastAsia="华文楷体" w:hint="eastAsia"/>
          <w:sz w:val="24"/>
          <w:szCs w:val="24"/>
        </w:rPr>
        <w:t>并不能向下兼容并行</w:t>
      </w:r>
      <w:r w:rsidRPr="004B7DF7">
        <w:rPr>
          <w:rFonts w:eastAsia="华文楷体" w:hint="eastAsia"/>
          <w:sz w:val="24"/>
          <w:szCs w:val="24"/>
        </w:rPr>
        <w:t>ATA</w:t>
      </w:r>
      <w:r w:rsidRPr="004B7DF7">
        <w:rPr>
          <w:rFonts w:eastAsia="华文楷体" w:hint="eastAsia"/>
          <w:sz w:val="24"/>
          <w:szCs w:val="24"/>
        </w:rPr>
        <w:t>设备，所以从并行</w:t>
      </w:r>
      <w:r w:rsidRPr="004B7DF7">
        <w:rPr>
          <w:rFonts w:eastAsia="华文楷体" w:hint="eastAsia"/>
          <w:sz w:val="24"/>
          <w:szCs w:val="24"/>
        </w:rPr>
        <w:t>ATA</w:t>
      </w:r>
      <w:r w:rsidRPr="004B7DF7">
        <w:rPr>
          <w:rFonts w:eastAsia="华文楷体" w:hint="eastAsia"/>
          <w:sz w:val="24"/>
          <w:szCs w:val="24"/>
        </w:rPr>
        <w:t>全面过渡到串行</w:t>
      </w:r>
      <w:r w:rsidRPr="004B7DF7">
        <w:rPr>
          <w:rFonts w:eastAsia="华文楷体" w:hint="eastAsia"/>
          <w:sz w:val="24"/>
          <w:szCs w:val="24"/>
        </w:rPr>
        <w:t>ATA</w:t>
      </w:r>
      <w:r w:rsidRPr="004B7DF7">
        <w:rPr>
          <w:rFonts w:eastAsia="华文楷体" w:hint="eastAsia"/>
          <w:sz w:val="24"/>
          <w:szCs w:val="24"/>
        </w:rPr>
        <w:t>要相当长的一段时间，在这期间，硬盘的发展速度不可能因此而停下来。而</w:t>
      </w:r>
      <w:r w:rsidRPr="004B7DF7">
        <w:rPr>
          <w:rFonts w:eastAsia="华文楷体" w:hint="eastAsia"/>
          <w:sz w:val="24"/>
          <w:szCs w:val="24"/>
        </w:rPr>
        <w:t>UltraATA133</w:t>
      </w:r>
      <w:r w:rsidRPr="004B7DF7">
        <w:rPr>
          <w:rFonts w:eastAsia="华文楷体" w:hint="eastAsia"/>
          <w:sz w:val="24"/>
          <w:szCs w:val="24"/>
        </w:rPr>
        <w:t>作为这一过渡期的折中解决方案，很可能成为最后一种并行</w:t>
      </w:r>
      <w:r w:rsidRPr="004B7DF7">
        <w:rPr>
          <w:rFonts w:eastAsia="华文楷体" w:hint="eastAsia"/>
          <w:sz w:val="24"/>
          <w:szCs w:val="24"/>
        </w:rPr>
        <w:t>ATA</w:t>
      </w:r>
      <w:r w:rsidRPr="004B7DF7">
        <w:rPr>
          <w:rFonts w:eastAsia="华文楷体" w:hint="eastAsia"/>
          <w:sz w:val="24"/>
          <w:szCs w:val="24"/>
        </w:rPr>
        <w:t>借口规范。</w:t>
      </w:r>
    </w:p>
    <w:p w:rsidR="00BA5CC4" w:rsidRDefault="00BA5CC4" w:rsidP="00BA5CC4">
      <w:pPr>
        <w:jc w:val="center"/>
        <w:rPr>
          <w:rFonts w:ascii="黑体" w:eastAsia="黑体" w:hAnsi="宋体"/>
          <w:color w:val="FF0000"/>
          <w:sz w:val="32"/>
        </w:rPr>
      </w:pPr>
      <w:proofErr w:type="spellStart"/>
      <w:r>
        <w:rPr>
          <w:rFonts w:ascii="黑体" w:eastAsia="黑体" w:hAnsi="宋体" w:hint="eastAsia"/>
          <w:color w:val="FF0000"/>
          <w:sz w:val="32"/>
        </w:rPr>
        <w:t>UltraATA</w:t>
      </w:r>
      <w:proofErr w:type="spellEnd"/>
      <w:r>
        <w:rPr>
          <w:rFonts w:ascii="黑体" w:eastAsia="黑体" w:hAnsi="宋体" w:hint="eastAsia"/>
          <w:color w:val="FF0000"/>
          <w:sz w:val="32"/>
        </w:rPr>
        <w:t>借口规格一览表</w:t>
      </w:r>
    </w:p>
    <w:p w:rsidR="001A7D43" w:rsidRPr="0033568A" w:rsidRDefault="00D40C93" w:rsidP="00505724">
      <w:pPr>
        <w:rPr>
          <w:rFonts w:ascii="宋体" w:hAnsi="宋体"/>
          <w:sz w:val="18"/>
          <w:szCs w:val="18"/>
        </w:rPr>
      </w:pPr>
      <w:proofErr w:type="spellStart"/>
      <w:r w:rsidRPr="0033568A">
        <w:rPr>
          <w:rFonts w:ascii="宋体" w:hAnsi="宋体"/>
          <w:sz w:val="18"/>
          <w:szCs w:val="18"/>
        </w:rPr>
        <w:t>UltraATA</w:t>
      </w:r>
      <w:proofErr w:type="spellEnd"/>
      <w:r w:rsidRPr="0033568A">
        <w:rPr>
          <w:rFonts w:ascii="宋体" w:hAnsi="宋体"/>
          <w:sz w:val="18"/>
          <w:szCs w:val="18"/>
        </w:rPr>
        <w:t>借口</w:t>
      </w:r>
      <w:r w:rsidRPr="0033568A">
        <w:rPr>
          <w:rFonts w:ascii="宋体" w:hAnsi="宋体"/>
          <w:sz w:val="18"/>
          <w:szCs w:val="18"/>
        </w:rPr>
        <w:tab/>
        <w:t>UDMA模式</w:t>
      </w:r>
      <w:r w:rsidRPr="0033568A">
        <w:rPr>
          <w:rFonts w:ascii="宋体" w:hAnsi="宋体"/>
          <w:sz w:val="18"/>
          <w:szCs w:val="18"/>
        </w:rPr>
        <w:tab/>
        <w:t>时钟频率</w:t>
      </w:r>
      <w:r w:rsidRPr="0033568A">
        <w:rPr>
          <w:rFonts w:ascii="宋体" w:hAnsi="宋体"/>
          <w:sz w:val="18"/>
          <w:szCs w:val="18"/>
        </w:rPr>
        <w:tab/>
        <w:t>数据传输率</w:t>
      </w:r>
      <w:r w:rsidRPr="0033568A">
        <w:rPr>
          <w:rFonts w:ascii="宋体" w:hAnsi="宋体"/>
          <w:sz w:val="18"/>
          <w:szCs w:val="18"/>
        </w:rPr>
        <w:tab/>
        <w:t>数据连线</w:t>
      </w:r>
    </w:p>
    <w:p w:rsidR="001A7D43" w:rsidRPr="0033568A" w:rsidRDefault="00D40C93" w:rsidP="00505724">
      <w:pPr>
        <w:rPr>
          <w:rFonts w:ascii="宋体" w:hAnsi="宋体"/>
          <w:sz w:val="18"/>
          <w:szCs w:val="18"/>
        </w:rPr>
      </w:pPr>
      <w:r w:rsidRPr="0033568A">
        <w:rPr>
          <w:rFonts w:ascii="宋体" w:hAnsi="宋体"/>
          <w:sz w:val="18"/>
          <w:szCs w:val="18"/>
        </w:rPr>
        <w:t>UltraATA33</w:t>
      </w:r>
      <w:r w:rsidRPr="0033568A">
        <w:rPr>
          <w:rFonts w:ascii="宋体" w:hAnsi="宋体"/>
          <w:sz w:val="18"/>
          <w:szCs w:val="18"/>
        </w:rPr>
        <w:tab/>
        <w:t>mode0</w:t>
      </w:r>
      <w:r w:rsidRPr="0033568A">
        <w:rPr>
          <w:rFonts w:ascii="宋体" w:hAnsi="宋体"/>
          <w:sz w:val="18"/>
          <w:szCs w:val="18"/>
        </w:rPr>
        <w:tab/>
        <w:t>8.33MHz(120ns)</w:t>
      </w:r>
      <w:r w:rsidRPr="0033568A">
        <w:rPr>
          <w:rFonts w:ascii="宋体" w:hAnsi="宋体"/>
          <w:sz w:val="18"/>
          <w:szCs w:val="18"/>
        </w:rPr>
        <w:tab/>
        <w:t>16.66MB/s</w:t>
      </w:r>
      <w:r w:rsidRPr="0033568A">
        <w:rPr>
          <w:rFonts w:ascii="宋体" w:hAnsi="宋体"/>
          <w:sz w:val="18"/>
          <w:szCs w:val="18"/>
        </w:rPr>
        <w:tab/>
        <w:t>40针40线</w:t>
      </w:r>
    </w:p>
    <w:p w:rsidR="001A7D43" w:rsidRPr="0033568A" w:rsidRDefault="00D40C93" w:rsidP="00505724">
      <w:pPr>
        <w:rPr>
          <w:rFonts w:ascii="宋体" w:hAnsi="宋体"/>
          <w:sz w:val="18"/>
          <w:szCs w:val="18"/>
        </w:rPr>
      </w:pPr>
      <w:r w:rsidRPr="0033568A">
        <w:rPr>
          <w:rFonts w:ascii="宋体" w:hAnsi="宋体"/>
          <w:sz w:val="18"/>
          <w:szCs w:val="18"/>
        </w:rPr>
        <w:tab/>
        <w:t>mode1</w:t>
      </w:r>
      <w:r w:rsidRPr="0033568A">
        <w:rPr>
          <w:rFonts w:ascii="宋体" w:hAnsi="宋体"/>
          <w:sz w:val="18"/>
          <w:szCs w:val="18"/>
        </w:rPr>
        <w:tab/>
        <w:t>6.67MHz(150ns)</w:t>
      </w:r>
      <w:r w:rsidRPr="0033568A">
        <w:rPr>
          <w:rFonts w:ascii="宋体" w:hAnsi="宋体"/>
          <w:sz w:val="18"/>
          <w:szCs w:val="18"/>
        </w:rPr>
        <w:tab/>
        <w:t>26.66MB/s</w:t>
      </w:r>
      <w:r w:rsidRPr="0033568A">
        <w:rPr>
          <w:rFonts w:ascii="宋体" w:hAnsi="宋体"/>
          <w:sz w:val="18"/>
          <w:szCs w:val="18"/>
        </w:rPr>
        <w:tab/>
        <w:t>40针40线</w:t>
      </w:r>
    </w:p>
    <w:p w:rsidR="001A7D43" w:rsidRPr="0033568A" w:rsidRDefault="00D40C93" w:rsidP="00505724">
      <w:pPr>
        <w:rPr>
          <w:rFonts w:ascii="宋体" w:hAnsi="宋体"/>
          <w:sz w:val="18"/>
          <w:szCs w:val="18"/>
        </w:rPr>
      </w:pPr>
      <w:r w:rsidRPr="0033568A">
        <w:rPr>
          <w:rFonts w:ascii="宋体" w:hAnsi="宋体"/>
          <w:sz w:val="18"/>
          <w:szCs w:val="18"/>
        </w:rPr>
        <w:tab/>
        <w:t>mode2</w:t>
      </w:r>
      <w:r w:rsidRPr="0033568A">
        <w:rPr>
          <w:rFonts w:ascii="宋体" w:hAnsi="宋体"/>
          <w:sz w:val="18"/>
          <w:szCs w:val="18"/>
        </w:rPr>
        <w:tab/>
        <w:t>8.33MHz(120ns)</w:t>
      </w:r>
      <w:r w:rsidRPr="0033568A">
        <w:rPr>
          <w:rFonts w:ascii="宋体" w:hAnsi="宋体"/>
          <w:sz w:val="18"/>
          <w:szCs w:val="18"/>
        </w:rPr>
        <w:tab/>
        <w:t>33.33MB/s</w:t>
      </w:r>
      <w:r w:rsidRPr="0033568A">
        <w:rPr>
          <w:rFonts w:ascii="宋体" w:hAnsi="宋体"/>
          <w:sz w:val="18"/>
          <w:szCs w:val="18"/>
        </w:rPr>
        <w:tab/>
        <w:t>40针40线</w:t>
      </w:r>
    </w:p>
    <w:p w:rsidR="001A7D43" w:rsidRPr="0033568A" w:rsidRDefault="00D40C93" w:rsidP="00505724">
      <w:pPr>
        <w:rPr>
          <w:rFonts w:ascii="宋体" w:hAnsi="宋体"/>
          <w:sz w:val="18"/>
          <w:szCs w:val="18"/>
        </w:rPr>
      </w:pPr>
      <w:r w:rsidRPr="0033568A">
        <w:rPr>
          <w:rFonts w:ascii="宋体" w:hAnsi="宋体"/>
          <w:sz w:val="18"/>
          <w:szCs w:val="18"/>
        </w:rPr>
        <w:t>UltraATA66</w:t>
      </w:r>
      <w:r w:rsidRPr="0033568A">
        <w:rPr>
          <w:rFonts w:ascii="宋体" w:hAnsi="宋体"/>
          <w:sz w:val="18"/>
          <w:szCs w:val="18"/>
        </w:rPr>
        <w:tab/>
        <w:t>mode3</w:t>
      </w:r>
      <w:r w:rsidRPr="0033568A">
        <w:rPr>
          <w:rFonts w:ascii="宋体" w:hAnsi="宋体"/>
          <w:sz w:val="18"/>
          <w:szCs w:val="18"/>
        </w:rPr>
        <w:tab/>
        <w:t>11.11MHz(90ns)</w:t>
      </w:r>
      <w:r w:rsidRPr="0033568A">
        <w:rPr>
          <w:rFonts w:ascii="宋体" w:hAnsi="宋体"/>
          <w:sz w:val="18"/>
          <w:szCs w:val="18"/>
        </w:rPr>
        <w:tab/>
        <w:t>44.44MB/s</w:t>
      </w:r>
      <w:r w:rsidRPr="0033568A">
        <w:rPr>
          <w:rFonts w:ascii="宋体" w:hAnsi="宋体"/>
          <w:sz w:val="18"/>
          <w:szCs w:val="18"/>
        </w:rPr>
        <w:tab/>
        <w:t>40针80线</w:t>
      </w:r>
    </w:p>
    <w:p w:rsidR="001A7D43" w:rsidRPr="0033568A" w:rsidRDefault="00D40C93" w:rsidP="00505724">
      <w:pPr>
        <w:rPr>
          <w:rFonts w:ascii="宋体" w:hAnsi="宋体"/>
          <w:sz w:val="18"/>
          <w:szCs w:val="18"/>
        </w:rPr>
      </w:pPr>
      <w:r w:rsidRPr="0033568A">
        <w:rPr>
          <w:rFonts w:ascii="宋体" w:hAnsi="宋体"/>
          <w:sz w:val="18"/>
          <w:szCs w:val="18"/>
        </w:rPr>
        <w:tab/>
        <w:t>mode4</w:t>
      </w:r>
      <w:r w:rsidRPr="0033568A">
        <w:rPr>
          <w:rFonts w:ascii="宋体" w:hAnsi="宋体"/>
          <w:sz w:val="18"/>
          <w:szCs w:val="18"/>
        </w:rPr>
        <w:tab/>
        <w:t>16.67MHz(60ns)</w:t>
      </w:r>
      <w:r w:rsidRPr="0033568A">
        <w:rPr>
          <w:rFonts w:ascii="宋体" w:hAnsi="宋体"/>
          <w:sz w:val="18"/>
          <w:szCs w:val="18"/>
        </w:rPr>
        <w:tab/>
        <w:t>66.66MB/s</w:t>
      </w:r>
      <w:r w:rsidRPr="0033568A">
        <w:rPr>
          <w:rFonts w:ascii="宋体" w:hAnsi="宋体"/>
          <w:sz w:val="18"/>
          <w:szCs w:val="18"/>
        </w:rPr>
        <w:tab/>
        <w:t>40针80线</w:t>
      </w:r>
    </w:p>
    <w:p w:rsidR="001A7D43" w:rsidRPr="0033568A" w:rsidRDefault="00D40C93" w:rsidP="00505724">
      <w:pPr>
        <w:rPr>
          <w:rFonts w:ascii="宋体" w:hAnsi="宋体"/>
          <w:sz w:val="18"/>
          <w:szCs w:val="18"/>
        </w:rPr>
      </w:pPr>
      <w:r w:rsidRPr="0033568A">
        <w:rPr>
          <w:rFonts w:ascii="宋体" w:hAnsi="宋体"/>
          <w:sz w:val="18"/>
          <w:szCs w:val="18"/>
        </w:rPr>
        <w:t>UltraATA100</w:t>
      </w:r>
      <w:r w:rsidRPr="0033568A">
        <w:rPr>
          <w:rFonts w:ascii="宋体" w:hAnsi="宋体"/>
          <w:sz w:val="18"/>
          <w:szCs w:val="18"/>
        </w:rPr>
        <w:tab/>
        <w:t>mode5</w:t>
      </w:r>
      <w:r w:rsidRPr="0033568A">
        <w:rPr>
          <w:rFonts w:ascii="宋体" w:hAnsi="宋体"/>
          <w:sz w:val="18"/>
          <w:szCs w:val="18"/>
        </w:rPr>
        <w:tab/>
        <w:t>25MHz(400ns)</w:t>
      </w:r>
      <w:r w:rsidRPr="0033568A">
        <w:rPr>
          <w:rFonts w:ascii="宋体" w:hAnsi="宋体"/>
          <w:sz w:val="18"/>
          <w:szCs w:val="18"/>
        </w:rPr>
        <w:tab/>
        <w:t>100MB/s</w:t>
      </w:r>
      <w:r w:rsidRPr="0033568A">
        <w:rPr>
          <w:rFonts w:ascii="宋体" w:hAnsi="宋体"/>
          <w:sz w:val="18"/>
          <w:szCs w:val="18"/>
        </w:rPr>
        <w:tab/>
        <w:t>40针80线</w:t>
      </w:r>
    </w:p>
    <w:p w:rsidR="001A7D43" w:rsidRPr="0033568A" w:rsidRDefault="00D40C93" w:rsidP="00505724">
      <w:pPr>
        <w:rPr>
          <w:rFonts w:ascii="宋体" w:hAnsi="宋体"/>
          <w:sz w:val="18"/>
          <w:szCs w:val="18"/>
        </w:rPr>
      </w:pPr>
      <w:r w:rsidRPr="0033568A">
        <w:rPr>
          <w:rFonts w:ascii="宋体" w:hAnsi="宋体"/>
          <w:sz w:val="18"/>
          <w:szCs w:val="18"/>
        </w:rPr>
        <w:t>UltraATA133</w:t>
      </w:r>
      <w:r w:rsidRPr="0033568A">
        <w:rPr>
          <w:rFonts w:ascii="宋体" w:hAnsi="宋体"/>
          <w:sz w:val="18"/>
          <w:szCs w:val="18"/>
        </w:rPr>
        <w:tab/>
        <w:t>mode6</w:t>
      </w:r>
      <w:r w:rsidRPr="0033568A">
        <w:rPr>
          <w:rFonts w:ascii="宋体" w:hAnsi="宋体"/>
          <w:sz w:val="18"/>
          <w:szCs w:val="18"/>
        </w:rPr>
        <w:tab/>
        <w:t>33.33MHz(30ns)</w:t>
      </w:r>
      <w:r w:rsidRPr="0033568A">
        <w:rPr>
          <w:rFonts w:ascii="宋体" w:hAnsi="宋体"/>
          <w:sz w:val="18"/>
          <w:szCs w:val="18"/>
        </w:rPr>
        <w:tab/>
        <w:t>133.3MB/s</w:t>
      </w:r>
      <w:r w:rsidRPr="0033568A">
        <w:rPr>
          <w:rFonts w:ascii="宋体" w:hAnsi="宋体"/>
          <w:sz w:val="18"/>
          <w:szCs w:val="18"/>
        </w:rPr>
        <w:tab/>
        <w:t>40针80线</w:t>
      </w:r>
    </w:p>
    <w:p w:rsidR="00D40C93" w:rsidRPr="00505724" w:rsidRDefault="00D40C93" w:rsidP="00505724"/>
    <w:sectPr w:rsidR="00D40C93" w:rsidRPr="00505724">
      <w:headerReference w:type="default" r:id="rId8"/>
      <w:pgSz w:w="11907" w:h="16840" w:code="9"/>
      <w:pgMar w:top="1440" w:right="1797" w:bottom="1440" w:left="1797" w:header="720" w:footer="720" w:gutter="0"/>
      <w:cols w:space="425"/>
      <w:docGrid w:linePitch="27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3CD1" w:rsidRDefault="00AF3CD1">
      <w:r>
        <w:separator/>
      </w:r>
    </w:p>
  </w:endnote>
  <w:endnote w:type="continuationSeparator" w:id="0">
    <w:p w:rsidR="00AF3CD1" w:rsidRDefault="00AF3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3CD1" w:rsidRDefault="00AF3CD1">
      <w:r>
        <w:separator/>
      </w:r>
    </w:p>
  </w:footnote>
  <w:footnote w:type="continuationSeparator" w:id="0">
    <w:p w:rsidR="00AF3CD1" w:rsidRDefault="00AF3C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D43" w:rsidRDefault="001A7D43">
    <w:pPr>
      <w:pStyle w:val="a3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9D6323"/>
    <w:multiLevelType w:val="singleLevel"/>
    <w:tmpl w:val="04090005"/>
    <w:lvl w:ilvl="0">
      <w:start w:val="1"/>
      <w:numFmt w:val="bullet"/>
      <w:lvlText w:val="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5"/>
  <w:drawingGridHorizontalSpacing w:val="100"/>
  <w:drawingGridVerticalSpacing w:val="271"/>
  <w:displayHorizont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96C"/>
    <w:rsid w:val="00187C0E"/>
    <w:rsid w:val="001A7D43"/>
    <w:rsid w:val="002E2B06"/>
    <w:rsid w:val="0033568A"/>
    <w:rsid w:val="004B7DF7"/>
    <w:rsid w:val="00505724"/>
    <w:rsid w:val="0065096C"/>
    <w:rsid w:val="006F384A"/>
    <w:rsid w:val="00833ACB"/>
    <w:rsid w:val="00AA44CB"/>
    <w:rsid w:val="00AF3CD1"/>
    <w:rsid w:val="00BA5CC4"/>
    <w:rsid w:val="00D40C93"/>
    <w:rsid w:val="00D40F9B"/>
    <w:rsid w:val="00FE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Plain Text"/>
    <w:basedOn w:val="a"/>
    <w:semiHidden/>
  </w:style>
  <w:style w:type="paragraph" w:styleId="a5">
    <w:name w:val="footer"/>
    <w:basedOn w:val="a"/>
    <w:link w:val="Char"/>
    <w:uiPriority w:val="99"/>
    <w:unhideWhenUsed/>
    <w:rsid w:val="003356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uiPriority w:val="99"/>
    <w:rsid w:val="0033568A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Plain Text"/>
    <w:basedOn w:val="a"/>
    <w:semiHidden/>
  </w:style>
  <w:style w:type="paragraph" w:styleId="a5">
    <w:name w:val="footer"/>
    <w:basedOn w:val="a"/>
    <w:link w:val="Char"/>
    <w:uiPriority w:val="99"/>
    <w:unhideWhenUsed/>
    <w:rsid w:val="003356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uiPriority w:val="99"/>
    <w:rsid w:val="0033568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47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援引Oracle的定义，NCA的关键组成部分是：</vt:lpstr>
    </vt:vector>
  </TitlesOfParts>
  <Company> </Company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援引Oracle的定义，NCA的关键组成部分是：</dc:title>
  <dc:subject/>
  <dc:creator>hbp</dc:creator>
  <cp:keywords/>
  <cp:lastModifiedBy>YlmF</cp:lastModifiedBy>
  <cp:revision>8</cp:revision>
  <dcterms:created xsi:type="dcterms:W3CDTF">2013-03-18T13:59:00Z</dcterms:created>
  <dcterms:modified xsi:type="dcterms:W3CDTF">2013-09-11T03:10:00Z</dcterms:modified>
</cp:coreProperties>
</file>