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FF5" w:rsidRPr="00111D5D" w:rsidRDefault="004C557F" w:rsidP="00D95307">
      <w:pPr>
        <w:rPr>
          <w:rFonts w:ascii="宋体" w:hAnsi="宋体"/>
          <w:sz w:val="21"/>
          <w:szCs w:val="21"/>
        </w:rPr>
      </w:pPr>
      <w:r w:rsidRPr="00111D5D">
        <w:rPr>
          <w:rFonts w:ascii="宋体" w:hAnsi="宋体" w:hint="eastAsia"/>
          <w:sz w:val="21"/>
          <w:szCs w:val="21"/>
        </w:rPr>
        <w:t>中报显示多数集锦上半年亏损</w:t>
      </w:r>
    </w:p>
    <w:p w:rsidR="00163FF5" w:rsidRPr="00111D5D" w:rsidRDefault="004C557F" w:rsidP="00D95307">
      <w:pPr>
        <w:rPr>
          <w:rFonts w:ascii="宋体" w:hAnsi="宋体"/>
          <w:sz w:val="21"/>
          <w:szCs w:val="21"/>
        </w:rPr>
      </w:pPr>
      <w:r w:rsidRPr="00111D5D">
        <w:rPr>
          <w:rFonts w:ascii="宋体" w:hAnsi="宋体" w:hint="eastAsia"/>
          <w:sz w:val="21"/>
          <w:szCs w:val="21"/>
        </w:rPr>
        <w:t>截至昨晚10点，深沪两市共有31只封闭式集锦通过网上公布了它们的半年报。其中深市16只，沪市15只。它们的主要财务指标显示，上半年它们绝大多数都是亏损的。</w:t>
      </w:r>
    </w:p>
    <w:p w:rsidR="00163FF5" w:rsidRPr="00111D5D" w:rsidRDefault="004C557F" w:rsidP="00D95307">
      <w:pPr>
        <w:rPr>
          <w:rFonts w:ascii="宋体" w:hAnsi="宋体"/>
          <w:sz w:val="21"/>
          <w:szCs w:val="21"/>
        </w:rPr>
      </w:pPr>
      <w:r w:rsidRPr="00111D5D">
        <w:rPr>
          <w:rFonts w:ascii="宋体" w:hAnsi="宋体" w:hint="eastAsia"/>
          <w:sz w:val="21"/>
          <w:szCs w:val="21"/>
        </w:rPr>
        <w:t>在单位集锦本期净收益这一指标中，集锦开元、普惠、景宏、裕隆、天元、裕华、景博、普丰、隆元、裕泽、景福、科翔、普华、普润、兴和、汉鼎、景业、兴安、科汇、汉盛、汉兴、科讯、汉博、金元、裕阳、兴华、景阳等27只都是负值，只有科瑞、兴科、兴业、裕元等4只是正值。</w:t>
      </w:r>
    </w:p>
    <w:p w:rsidR="00163FF5" w:rsidRPr="00111D5D" w:rsidRDefault="004C557F" w:rsidP="00D95307">
      <w:pPr>
        <w:rPr>
          <w:rFonts w:ascii="宋体" w:hAnsi="宋体"/>
          <w:sz w:val="21"/>
          <w:szCs w:val="21"/>
        </w:rPr>
      </w:pPr>
      <w:r w:rsidRPr="00111D5D">
        <w:rPr>
          <w:rFonts w:ascii="宋体" w:hAnsi="宋体" w:hint="eastAsia"/>
          <w:sz w:val="21"/>
          <w:szCs w:val="21"/>
        </w:rPr>
        <w:t>另外，还有集锦普惠、景宏、裕隆、天元、裕华、景博、普丰、裕泽、景福、隆元、科翔、普华、兴和、汉鼎、兴安、科汇、汉盛、汉兴、科讯、汉博、金元、裕阳、兴华、景阳、景业、裕元、普润等27只集锦资产净值收益率为负值。</w:t>
      </w:r>
    </w:p>
    <w:p w:rsidR="00163FF5" w:rsidRPr="00D95307" w:rsidRDefault="004C557F" w:rsidP="00D95307">
      <w:r w:rsidRPr="00111D5D">
        <w:rPr>
          <w:rFonts w:ascii="宋体" w:hAnsi="宋体" w:hint="eastAsia"/>
          <w:sz w:val="21"/>
          <w:szCs w:val="21"/>
        </w:rPr>
        <w:t>在31只封闭式集锦中，有集锦景宏、裕泽、隆元、普华、兴安、汉盛、金元、汉兴、景业、普润、汉鼎、兴业、汉博等13只集锦的单位集锦资产净值跌到了面值以下。</w:t>
      </w:r>
    </w:p>
    <w:p w:rsidR="00D94C9D" w:rsidRDefault="00D94C9D" w:rsidP="00D94C9D">
      <w:pPr>
        <w:jc w:val="center"/>
        <w:rPr>
          <w:rFonts w:ascii="黑体" w:eastAsia="黑体" w:hAnsi="宋体"/>
          <w:b/>
          <w:color w:val="800000"/>
        </w:rPr>
      </w:pPr>
      <w:r>
        <w:rPr>
          <w:rFonts w:ascii="黑体" w:eastAsia="黑体" w:hAnsi="宋体" w:hint="eastAsia"/>
          <w:b/>
          <w:color w:val="800000"/>
        </w:rPr>
        <w:t>集锦净值排行榜 (截止时间：2002-8-30)</w:t>
      </w:r>
    </w:p>
    <w:p w:rsidR="00163FF5" w:rsidRPr="00111D5D" w:rsidRDefault="004C557F" w:rsidP="00D95307">
      <w:pPr>
        <w:rPr>
          <w:rFonts w:ascii="宋体" w:hAnsi="宋体"/>
          <w:sz w:val="21"/>
          <w:szCs w:val="21"/>
        </w:rPr>
      </w:pPr>
      <w:bookmarkStart w:id="0" w:name="_GoBack"/>
      <w:r w:rsidRPr="00111D5D">
        <w:rPr>
          <w:rFonts w:ascii="宋体" w:hAnsi="宋体" w:hint="eastAsia"/>
          <w:sz w:val="21"/>
          <w:szCs w:val="21"/>
        </w:rPr>
        <w:t>集锦代码</w:t>
      </w:r>
      <w:r w:rsidRPr="00111D5D">
        <w:rPr>
          <w:rFonts w:ascii="宋体" w:hAnsi="宋体" w:hint="eastAsia"/>
          <w:sz w:val="21"/>
          <w:szCs w:val="21"/>
        </w:rPr>
        <w:tab/>
        <w:t>集锦名称</w:t>
      </w:r>
      <w:r w:rsidRPr="00111D5D">
        <w:rPr>
          <w:rFonts w:ascii="宋体" w:hAnsi="宋体" w:hint="eastAsia"/>
          <w:sz w:val="21"/>
          <w:szCs w:val="21"/>
        </w:rPr>
        <w:tab/>
        <w:t>调后净值</w:t>
      </w:r>
    </w:p>
    <w:p w:rsidR="00163FF5" w:rsidRPr="00111D5D" w:rsidRDefault="004C557F" w:rsidP="00D95307">
      <w:pPr>
        <w:rPr>
          <w:rFonts w:ascii="宋体" w:hAnsi="宋体"/>
          <w:sz w:val="21"/>
          <w:szCs w:val="21"/>
        </w:rPr>
      </w:pPr>
      <w:r w:rsidRPr="00111D5D">
        <w:rPr>
          <w:rFonts w:ascii="宋体" w:hAnsi="宋体" w:hint="eastAsia"/>
          <w:sz w:val="21"/>
          <w:szCs w:val="21"/>
        </w:rPr>
        <w:t>500009</w:t>
      </w:r>
      <w:r w:rsidRPr="00111D5D">
        <w:rPr>
          <w:rFonts w:ascii="宋体" w:hAnsi="宋体" w:hint="eastAsia"/>
          <w:sz w:val="21"/>
          <w:szCs w:val="21"/>
        </w:rPr>
        <w:tab/>
        <w:t>集锦安顺</w:t>
      </w:r>
      <w:r w:rsidRPr="00111D5D">
        <w:rPr>
          <w:rFonts w:ascii="宋体" w:hAnsi="宋体" w:hint="eastAsia"/>
          <w:sz w:val="21"/>
          <w:szCs w:val="21"/>
        </w:rPr>
        <w:tab/>
        <w:t>1.0715</w:t>
      </w:r>
    </w:p>
    <w:p w:rsidR="00163FF5" w:rsidRPr="00111D5D" w:rsidRDefault="004C557F" w:rsidP="00D95307">
      <w:pPr>
        <w:rPr>
          <w:rFonts w:ascii="宋体" w:hAnsi="宋体"/>
          <w:sz w:val="21"/>
          <w:szCs w:val="21"/>
        </w:rPr>
      </w:pPr>
      <w:r w:rsidRPr="00111D5D">
        <w:rPr>
          <w:rFonts w:ascii="宋体" w:hAnsi="宋体" w:hint="eastAsia"/>
          <w:sz w:val="21"/>
          <w:szCs w:val="21"/>
        </w:rPr>
        <w:t>500008</w:t>
      </w:r>
      <w:r w:rsidRPr="00111D5D">
        <w:rPr>
          <w:rFonts w:ascii="宋体" w:hAnsi="宋体" w:hint="eastAsia"/>
          <w:sz w:val="21"/>
          <w:szCs w:val="21"/>
        </w:rPr>
        <w:tab/>
        <w:t>集锦兴华</w:t>
      </w:r>
      <w:r w:rsidRPr="00111D5D">
        <w:rPr>
          <w:rFonts w:ascii="宋体" w:hAnsi="宋体" w:hint="eastAsia"/>
          <w:sz w:val="21"/>
          <w:szCs w:val="21"/>
        </w:rPr>
        <w:tab/>
        <w:t>1.0613</w:t>
      </w:r>
    </w:p>
    <w:p w:rsidR="00163FF5" w:rsidRPr="00111D5D" w:rsidRDefault="004C557F" w:rsidP="00D95307">
      <w:pPr>
        <w:rPr>
          <w:rFonts w:ascii="宋体" w:hAnsi="宋体"/>
          <w:sz w:val="21"/>
          <w:szCs w:val="21"/>
        </w:rPr>
      </w:pPr>
      <w:r w:rsidRPr="00111D5D">
        <w:rPr>
          <w:rFonts w:ascii="宋体" w:hAnsi="宋体" w:hint="eastAsia"/>
          <w:sz w:val="21"/>
          <w:szCs w:val="21"/>
        </w:rPr>
        <w:t>500013</w:t>
      </w:r>
      <w:r w:rsidRPr="00111D5D">
        <w:rPr>
          <w:rFonts w:ascii="宋体" w:hAnsi="宋体" w:hint="eastAsia"/>
          <w:sz w:val="21"/>
          <w:szCs w:val="21"/>
        </w:rPr>
        <w:tab/>
        <w:t>集锦安瑞</w:t>
      </w:r>
      <w:r w:rsidRPr="00111D5D">
        <w:rPr>
          <w:rFonts w:ascii="宋体" w:hAnsi="宋体" w:hint="eastAsia"/>
          <w:sz w:val="21"/>
          <w:szCs w:val="21"/>
        </w:rPr>
        <w:tab/>
        <w:t>1.0612</w:t>
      </w:r>
    </w:p>
    <w:p w:rsidR="00163FF5" w:rsidRPr="00111D5D" w:rsidRDefault="004C557F" w:rsidP="00D95307">
      <w:pPr>
        <w:rPr>
          <w:rFonts w:ascii="宋体" w:hAnsi="宋体"/>
          <w:sz w:val="21"/>
          <w:szCs w:val="21"/>
        </w:rPr>
      </w:pPr>
      <w:r w:rsidRPr="00111D5D">
        <w:rPr>
          <w:rFonts w:ascii="宋体" w:hAnsi="宋体" w:hint="eastAsia"/>
          <w:sz w:val="21"/>
          <w:szCs w:val="21"/>
        </w:rPr>
        <w:t>500018</w:t>
      </w:r>
      <w:r w:rsidRPr="00111D5D">
        <w:rPr>
          <w:rFonts w:ascii="宋体" w:hAnsi="宋体" w:hint="eastAsia"/>
          <w:sz w:val="21"/>
          <w:szCs w:val="21"/>
        </w:rPr>
        <w:tab/>
        <w:t>集锦兴和</w:t>
      </w:r>
      <w:r w:rsidRPr="00111D5D">
        <w:rPr>
          <w:rFonts w:ascii="宋体" w:hAnsi="宋体" w:hint="eastAsia"/>
          <w:sz w:val="21"/>
          <w:szCs w:val="21"/>
        </w:rPr>
        <w:tab/>
        <w:t>1.0493</w:t>
      </w:r>
    </w:p>
    <w:p w:rsidR="004C557F" w:rsidRPr="00111D5D" w:rsidRDefault="004C557F" w:rsidP="00D95307">
      <w:pPr>
        <w:rPr>
          <w:rFonts w:ascii="宋体" w:hAnsi="宋体"/>
          <w:sz w:val="21"/>
          <w:szCs w:val="21"/>
        </w:rPr>
      </w:pPr>
      <w:r w:rsidRPr="00111D5D">
        <w:rPr>
          <w:rFonts w:ascii="宋体" w:hAnsi="宋体" w:hint="eastAsia"/>
          <w:sz w:val="21"/>
          <w:szCs w:val="21"/>
        </w:rPr>
        <w:t>184688</w:t>
      </w:r>
      <w:r w:rsidRPr="00111D5D">
        <w:rPr>
          <w:rFonts w:ascii="宋体" w:hAnsi="宋体" w:hint="eastAsia"/>
          <w:sz w:val="21"/>
          <w:szCs w:val="21"/>
        </w:rPr>
        <w:tab/>
        <w:t>集锦开元</w:t>
      </w:r>
      <w:r w:rsidRPr="00111D5D">
        <w:rPr>
          <w:rFonts w:ascii="宋体" w:hAnsi="宋体" w:hint="eastAsia"/>
          <w:sz w:val="21"/>
          <w:szCs w:val="21"/>
        </w:rPr>
        <w:tab/>
        <w:t>1.0456</w:t>
      </w:r>
      <w:bookmarkEnd w:id="0"/>
    </w:p>
    <w:sectPr w:rsidR="004C557F" w:rsidRPr="00111D5D">
      <w:headerReference w:type="default" r:id="rId7"/>
      <w:pgSz w:w="10319" w:h="14572" w:code="13"/>
      <w:pgMar w:top="1440" w:right="1797" w:bottom="1440" w:left="1797" w:header="720" w:footer="720" w:gutter="0"/>
      <w:cols w:space="425"/>
      <w:docGrid w:linePitch="27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5367" w:rsidRDefault="00B65367">
      <w:r>
        <w:separator/>
      </w:r>
    </w:p>
  </w:endnote>
  <w:endnote w:type="continuationSeparator" w:id="0">
    <w:p w:rsidR="00B65367" w:rsidRDefault="00B65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5367" w:rsidRDefault="00B65367">
      <w:r>
        <w:separator/>
      </w:r>
    </w:p>
  </w:footnote>
  <w:footnote w:type="continuationSeparator" w:id="0">
    <w:p w:rsidR="00B65367" w:rsidRDefault="00B653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3FF5" w:rsidRDefault="00163FF5">
    <w:pPr>
      <w:pStyle w:val="a3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5"/>
  <w:drawingGridHorizontalSpacing w:val="100"/>
  <w:drawingGridVerticalSpacing w:val="271"/>
  <w:displayHorizont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673"/>
    <w:rsid w:val="00075673"/>
    <w:rsid w:val="00111D5D"/>
    <w:rsid w:val="00163FF5"/>
    <w:rsid w:val="004C557F"/>
    <w:rsid w:val="00B41DAB"/>
    <w:rsid w:val="00B65367"/>
    <w:rsid w:val="00CE7FBF"/>
    <w:rsid w:val="00D94C9D"/>
    <w:rsid w:val="00D9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4">
    <w:name w:val="footer"/>
    <w:basedOn w:val="a"/>
    <w:link w:val="Char"/>
    <w:uiPriority w:val="99"/>
    <w:unhideWhenUsed/>
    <w:rsid w:val="00D94C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rsid w:val="00D94C9D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4">
    <w:name w:val="footer"/>
    <w:basedOn w:val="a"/>
    <w:link w:val="Char"/>
    <w:uiPriority w:val="99"/>
    <w:unhideWhenUsed/>
    <w:rsid w:val="00D94C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rsid w:val="00D94C9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本专业培养目标是计算机专业的技术应用型人才，他们应该掌握计算机软件、硬件及系统的基本理论、基本方法和基本技能，能够从事计算机及相关领域应用技术工作、软、硬件维护、和一般应用系统的开发及设计，他们应该具有住处化时代的计算机人的素质，是全面发展的社会主义建</vt:lpstr>
    </vt:vector>
  </TitlesOfParts>
  <Company> </Company>
  <LinksUpToDate>false</LinksUpToDate>
  <CharactersWithSpaces>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专业培养目标是计算机专业的技术应用型人才，他们应该掌握计算机软件、硬件及系统的基本理论、基本方法和基本技能，能够从事计算机及相关领域应用技术工作、软、硬件维护、和一般应用系统的开发及设计，他们应该具有住处化时代的计算机人的素质，是全面发展的社会主义建</dc:title>
  <dc:subject/>
  <dc:creator>hbp</dc:creator>
  <cp:keywords/>
  <cp:lastModifiedBy>YlmF</cp:lastModifiedBy>
  <cp:revision>5</cp:revision>
  <dcterms:created xsi:type="dcterms:W3CDTF">2013-03-18T13:55:00Z</dcterms:created>
  <dcterms:modified xsi:type="dcterms:W3CDTF">2013-09-11T01:47:00Z</dcterms:modified>
</cp:coreProperties>
</file>