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i/>
          <w:iCs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i/>
          <w:iCs/>
          <w:color w:val="0072C7"/>
          <w:sz w:val="26"/>
          <w:szCs w:val="26"/>
        </w:rPr>
        <w:t>Modernizing mission-critical enterprise applications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When creating new, large mission-critical applications, current </w:t>
      </w:r>
      <w:bookmarkStart w:id="0" w:name="OLE_LINK1"/>
      <w:bookmarkStart w:id="1" w:name="OLE_LINK2"/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scalable </w:t>
      </w:r>
      <w:bookmarkEnd w:id="0"/>
      <w:bookmarkEnd w:id="1"/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and </w:t>
      </w:r>
      <w:bookmarkStart w:id="2" w:name="OLE_LINK3"/>
      <w:bookmarkStart w:id="3" w:name="OLE_LINK4"/>
      <w:bookmarkStart w:id="4" w:name="OLE_LINK5"/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elastic </w:t>
      </w:r>
      <w:bookmarkStart w:id="5" w:name="OLE_LINK6"/>
      <w:bookmarkStart w:id="6" w:name="OLE_LINK7"/>
      <w:bookmarkEnd w:id="2"/>
      <w:bookmarkEnd w:id="3"/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approaches </w:t>
      </w:r>
      <w:bookmarkEnd w:id="4"/>
      <w:bookmarkEnd w:id="5"/>
      <w:bookmarkEnd w:id="6"/>
      <w:r w:rsidRPr="000034C0">
        <w:rPr>
          <w:rFonts w:asciiTheme="majorHAnsi" w:hAnsiTheme="majorHAnsi" w:cstheme="majorHAnsi"/>
          <w:color w:val="000000"/>
          <w:sz w:val="26"/>
          <w:szCs w:val="26"/>
        </w:rPr>
        <w:t>should be applied. However, most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existing enterprise applications were not built with asynchronous engines and event-driven approaches, and they don’t support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scale-out and elastic architectures. In many cases, it is better to treat these applications as legacy systems to be integrated into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updated (web-based or service-based) façades. This integration should be done while building a new asynchronous messageoriented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integration system as a cross-channel organizer. The changes and updates to the established applications should focus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on areas related to innovation (as in modern applications) or areas related to scalability and per</w:t>
      </w:r>
      <w:r w:rsidR="00B43AAA" w:rsidRPr="000034C0">
        <w:rPr>
          <w:rFonts w:asciiTheme="majorHAnsi" w:hAnsiTheme="majorHAnsi" w:cstheme="majorHAnsi"/>
          <w:color w:val="000000"/>
          <w:sz w:val="26"/>
          <w:szCs w:val="26"/>
        </w:rPr>
        <w:t>formance. However, when dealing</w:t>
      </w:r>
      <w:r w:rsidR="00B43AAA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with legacy systems, scalability can be achieved more easily by building front-end services and caches in the cloud (those previously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mentioned façades) instead of rebuilding the whole mission-critical application from scratch. Then, in parallel, you can re-architect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the internal systems behind the façades as budget and time allow.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This modernization is precisely one of the scenarios this guide focuses in the next sections.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i/>
          <w:iCs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i/>
          <w:iCs/>
          <w:color w:val="0072C7"/>
          <w:sz w:val="26"/>
          <w:szCs w:val="26"/>
        </w:rPr>
        <w:t>Scenarios for custom large, mission-critical applications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The following sections discuss typical scenarios for custom large mission-critical applications: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</w:t>
      </w:r>
      <w:r w:rsidRPr="000034C0">
        <w:rPr>
          <w:rFonts w:asciiTheme="majorHAnsi" w:hAnsiTheme="majorHAnsi" w:cstheme="majorHAnsi"/>
          <w:color w:val="0072C7"/>
          <w:sz w:val="26"/>
          <w:szCs w:val="26"/>
        </w:rPr>
        <w:t>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Scenario: Domain-Driven Subsystem (Bounded Context)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</w:t>
      </w:r>
      <w:r w:rsidRPr="000034C0">
        <w:rPr>
          <w:rFonts w:asciiTheme="majorHAnsi" w:hAnsiTheme="majorHAnsi" w:cstheme="majorHAnsi"/>
          <w:color w:val="0072C7"/>
          <w:sz w:val="26"/>
          <w:szCs w:val="26"/>
        </w:rPr>
        <w:t>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Scenario: CQRS Subsystem (Bounded Context)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</w:t>
      </w:r>
      <w:r w:rsidRPr="000034C0">
        <w:rPr>
          <w:rFonts w:asciiTheme="majorHAnsi" w:hAnsiTheme="majorHAnsi" w:cstheme="majorHAnsi"/>
          <w:color w:val="0072C7"/>
          <w:sz w:val="26"/>
          <w:szCs w:val="26"/>
        </w:rPr>
        <w:t>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Scenario: Communicating Different Bounded Contexts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</w:t>
      </w:r>
      <w:r w:rsidRPr="000034C0">
        <w:rPr>
          <w:rFonts w:asciiTheme="majorHAnsi" w:hAnsiTheme="majorHAnsi" w:cstheme="majorHAnsi"/>
          <w:color w:val="0072C7"/>
          <w:sz w:val="26"/>
          <w:szCs w:val="26"/>
        </w:rPr>
        <w:t>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Scenario: Modernizing Legacy Mission-Critical Enterprise Applications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i/>
          <w:iCs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i/>
          <w:iCs/>
          <w:color w:val="0072C7"/>
          <w:sz w:val="26"/>
          <w:szCs w:val="26"/>
        </w:rPr>
        <w:t>Scenario: Domain-Driven Subsystem (Bounded Context)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This scenario covers complex core-business subsystems. In this case, the word “complex” means systems that have a high volume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of ever-changing domain/business logic that will be evolving for years.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While their presentation layer can vary (web, desktop, or modern mobile devices), the major volume of investment, design, and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development is in the server/services side where the business/domain logic is usually placed.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This type of application (or subsystem) is characterized by having a relatively long life span and may need to absorb a considerable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amount of evolutionary changes. Ongoing maintenance critical in these applications, so one of the most important priorities is to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invest on architecture, design, and development principles that will ease maintenance and changes in the long term. If the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application grows substantially, you want to ensure the minimum possible impact to the actual code. This is why monolithic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approaches are the worst approach for these types of applications.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As mentioned earlier, in complex applications, the behavior of business rules (domain logic) is often subject to change, so the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ability to modify, build, and perform isolated tests (unit testing and mocking) on domain logic layers in an easy and independent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lastRenderedPageBreak/>
        <w:t>way is critical for a sustainable maintenance. Achieving this important goal requires minimal coupling between the domain model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(entity model including logic and business rules) and the rest of the system’s layers (presentation layers, infrastructure layers, data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persistence, and so on). For that purpose, persistence-ignorant models and decoupled designs based on abstractions are usually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required in this context.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Additionally, because these long-term applications will usually have a very long life (several years at least), eventually, the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technologies available will evolve or be replaced. Therefore, an important goal for long-term systems is to be able to adapt to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infrastructure/technological changes with minimal impact to the rest of the application (domain model, domain rules, data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structures communicated to other tiers [DTOs], etc.) Changes in infrastructure technology of an application (technologies for data</w:t>
      </w:r>
      <w:r w:rsidR="00372646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access, service bus, security, operations, instrumentation, etc.) should have a minimal impact on higher-level layers in the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application, particularly on the application domain model layer.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The trends in long-term application architectures are increasingly oriented to promote this decoupling between classes/objects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and also between vertical areas (bounded contexts).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Domain-Driven Design (DDD)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is a prime example of this trend as an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approach to developing complex functional software systems.</w:t>
      </w:r>
    </w:p>
    <w:p w:rsidR="00B4284D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The DDD approach uses a set of techniques to analyze your domain and to construct a conceptual model that captures the results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of that analysis. You can then use that model as the basis of your solution. The analysis and model in the DDD approach are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especially well suited to building solutions for large and complex domains. DDD also extends its influence to other aspects of the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software development process to help manage complexity.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The core principles in Domain-Driven Design are: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</w:t>
      </w:r>
      <w:r w:rsidRPr="000034C0">
        <w:rPr>
          <w:rFonts w:asciiTheme="majorHAnsi" w:hAnsiTheme="majorHAnsi" w:cstheme="majorHAnsi"/>
          <w:color w:val="0072C7"/>
          <w:sz w:val="26"/>
          <w:szCs w:val="26"/>
        </w:rPr>
        <w:t>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Focus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on the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core domain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</w:t>
      </w:r>
      <w:r w:rsidRPr="000034C0">
        <w:rPr>
          <w:rFonts w:asciiTheme="majorHAnsi" w:hAnsiTheme="majorHAnsi" w:cstheme="majorHAnsi"/>
          <w:color w:val="0072C7"/>
          <w:sz w:val="26"/>
          <w:szCs w:val="26"/>
        </w:rPr>
        <w:t>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Direct collaboration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between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“domain experts”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and the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development team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</w:t>
      </w:r>
      <w:r w:rsidRPr="000034C0">
        <w:rPr>
          <w:rFonts w:asciiTheme="majorHAnsi" w:hAnsiTheme="majorHAnsi" w:cstheme="majorHAnsi"/>
          <w:color w:val="0072C7"/>
          <w:sz w:val="26"/>
          <w:szCs w:val="26"/>
        </w:rPr>
        <w:t>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Speak an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ubiquitous language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within an explicit bounded context (subsystem)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</w:t>
      </w:r>
      <w:r w:rsidRPr="000034C0">
        <w:rPr>
          <w:rFonts w:asciiTheme="majorHAnsi" w:hAnsiTheme="majorHAnsi" w:cstheme="majorHAnsi"/>
          <w:color w:val="0072C7"/>
          <w:sz w:val="26"/>
          <w:szCs w:val="26"/>
        </w:rPr>
        <w:t>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Apply certain DDD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architecture and proven design patterns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Therefore, DDD is much more than just a proposed architecture; it is a way of managing projects, team-work to identify an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“ubiquitous language”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based on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“knowledge crunching.”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This leads to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continual interaction between the development</w:t>
      </w:r>
      <w:r w:rsidR="00B4284D" w:rsidRPr="000034C0">
        <w:rPr>
          <w:rFonts w:asciiTheme="majorHAnsi" w:hAnsiTheme="majorHAnsi" w:cstheme="majorHAnsi"/>
          <w:b/>
          <w:bCs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team with domain experts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to capture the important parts of the domain in the model, the ongoing search for better abstractions,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refactoring, and improvement of the model. Developers’ knowledge of the domain grows over time, along with the domain experts’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ability to formalize or distill their domain knowledge.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When designing DDD logical architectures,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a complex bounded context should be partitioned into layers. This design must be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cohesive within each layer, but clearly must define the different layers within the system. Dependencies between objects should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be based on abstractions.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In addition to clearly delineate and isolate the domain model layer from the rest of the layers,</w:t>
      </w:r>
      <w:r w:rsidR="00B4284D" w:rsidRPr="000034C0">
        <w:rPr>
          <w:rFonts w:asciiTheme="majorHAnsi" w:hAnsiTheme="majorHAnsi" w:cstheme="majorHAnsi"/>
          <w:b/>
          <w:bCs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like the infrastructure layers based on specific technologies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(like data-access technologies). Everything must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lastRenderedPageBreak/>
        <w:t>revolve around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the domain, because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“</w:t>
      </w:r>
      <w:r w:rsidRPr="000034C0">
        <w:rPr>
          <w:rFonts w:asciiTheme="majorHAnsi" w:hAnsiTheme="majorHAnsi" w:cstheme="majorHAnsi"/>
          <w:b/>
          <w:bCs/>
          <w:i/>
          <w:iCs/>
          <w:color w:val="000000"/>
          <w:sz w:val="26"/>
          <w:szCs w:val="26"/>
        </w:rPr>
        <w:t>the domain layer is the heart of the software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”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in core-domain applications.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sz w:val="26"/>
          <w:szCs w:val="26"/>
        </w:rPr>
      </w:pPr>
      <w:r w:rsidRPr="000034C0">
        <w:rPr>
          <w:rFonts w:asciiTheme="majorHAnsi" w:hAnsiTheme="majorHAnsi" w:cstheme="majorHAnsi"/>
          <w:sz w:val="26"/>
          <w:szCs w:val="26"/>
        </w:rPr>
        <w:t>Hence, within a concrete bounded context, all the code related to the domain model (e.g., domain entities and domain services)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should be placed in a single layer. The domain model should not persist/save itself, nor should it have direct dependencies to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underlying technologies. It must exclusively focus on expressing the domain model (data and logic). The .</w:t>
      </w:r>
      <w:r w:rsidRPr="000034C0">
        <w:rPr>
          <w:rFonts w:asciiTheme="majorHAnsi" w:hAnsiTheme="majorHAnsi" w:cstheme="majorHAnsi"/>
          <w:b/>
          <w:bCs/>
          <w:sz w:val="26"/>
          <w:szCs w:val="26"/>
        </w:rPr>
        <w:t xml:space="preserve">NET Framework </w:t>
      </w:r>
      <w:r w:rsidRPr="000034C0">
        <w:rPr>
          <w:rFonts w:asciiTheme="majorHAnsi" w:hAnsiTheme="majorHAnsi" w:cstheme="majorHAnsi"/>
          <w:sz w:val="26"/>
          <w:szCs w:val="26"/>
        </w:rPr>
        <w:t>and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b/>
          <w:bCs/>
          <w:sz w:val="26"/>
          <w:szCs w:val="26"/>
        </w:rPr>
        <w:t xml:space="preserve">Entity Framework </w:t>
      </w:r>
      <w:r w:rsidRPr="000034C0">
        <w:rPr>
          <w:rFonts w:asciiTheme="majorHAnsi" w:hAnsiTheme="majorHAnsi" w:cstheme="majorHAnsi"/>
          <w:sz w:val="26"/>
          <w:szCs w:val="26"/>
        </w:rPr>
        <w:t>ease this model implementation significantly when using POCO Code-First entities which are “persistent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ignorant”.</w:t>
      </w:r>
    </w:p>
    <w:p w:rsidR="00F42080" w:rsidRPr="000034C0" w:rsidRDefault="00F42080" w:rsidP="00AF2EBE">
      <w:pPr>
        <w:spacing w:after="120"/>
        <w:rPr>
          <w:rFonts w:asciiTheme="majorHAnsi" w:hAnsiTheme="majorHAnsi" w:cstheme="majorHAnsi"/>
          <w:sz w:val="26"/>
          <w:szCs w:val="26"/>
        </w:rPr>
      </w:pPr>
      <w:r w:rsidRPr="000034C0">
        <w:rPr>
          <w:rFonts w:asciiTheme="majorHAnsi" w:hAnsiTheme="majorHAnsi" w:cstheme="majorHAnsi"/>
          <w:sz w:val="26"/>
          <w:szCs w:val="26"/>
        </w:rPr>
        <w:br w:type="page"/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sz w:val="26"/>
          <w:szCs w:val="26"/>
        </w:rPr>
      </w:pPr>
      <w:r w:rsidRPr="000034C0">
        <w:rPr>
          <w:rFonts w:asciiTheme="majorHAnsi" w:hAnsiTheme="majorHAnsi" w:cstheme="majorHAnsi"/>
          <w:sz w:val="26"/>
          <w:szCs w:val="26"/>
        </w:rPr>
        <w:lastRenderedPageBreak/>
        <w:t>This layering is similar to Figure 5-30 (following the trends of DDD architectural styles), where you could have additional bounded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contexts with other different architectural approaches:</w:t>
      </w:r>
    </w:p>
    <w:p w:rsidR="00571492" w:rsidRPr="000034C0" w:rsidRDefault="00571492" w:rsidP="00AF2EBE">
      <w:pPr>
        <w:spacing w:after="120"/>
        <w:jc w:val="center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Simplified DDD Layered Architecture Within a Large Application</w:t>
      </w:r>
    </w:p>
    <w:p w:rsidR="00571492" w:rsidRPr="000034C0" w:rsidRDefault="00571492" w:rsidP="00AF2EBE">
      <w:pPr>
        <w:spacing w:after="120"/>
        <w:jc w:val="center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noProof/>
          <w:color w:val="000000"/>
          <w:sz w:val="26"/>
          <w:szCs w:val="26"/>
          <w:lang w:eastAsia="vi-VN"/>
        </w:rPr>
        <w:drawing>
          <wp:inline distT="0" distB="0" distL="0" distR="0">
            <wp:extent cx="5731510" cy="2852524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92" w:rsidRPr="000034C0" w:rsidRDefault="00571492" w:rsidP="00AF2EBE">
      <w:pPr>
        <w:spacing w:after="120"/>
        <w:jc w:val="center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Figure 5-30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sz w:val="26"/>
          <w:szCs w:val="26"/>
        </w:rPr>
      </w:pPr>
      <w:r w:rsidRPr="000034C0">
        <w:rPr>
          <w:rFonts w:asciiTheme="majorHAnsi" w:hAnsiTheme="majorHAnsi" w:cstheme="majorHAnsi"/>
          <w:sz w:val="26"/>
          <w:szCs w:val="26"/>
        </w:rPr>
        <w:t>In this figure, the arrows represent dependencies between the different components and layers. The main difference between a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DDD layered approach and a traditional top-down layered approach is that the domain model layer has no dependency to any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other layer. This approach is based on abstractions (interfaces defined within the domain model layer and the related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 xml:space="preserve">implementation classes are placed in other layers) and POCO entity models (like using </w:t>
      </w:r>
      <w:r w:rsidRPr="000034C0">
        <w:rPr>
          <w:rFonts w:asciiTheme="majorHAnsi" w:hAnsiTheme="majorHAnsi" w:cstheme="majorHAnsi"/>
          <w:b/>
          <w:bCs/>
          <w:sz w:val="26"/>
          <w:szCs w:val="26"/>
        </w:rPr>
        <w:t xml:space="preserve">Microsoft Entity Framework </w:t>
      </w:r>
      <w:r w:rsidRPr="000034C0">
        <w:rPr>
          <w:rFonts w:asciiTheme="majorHAnsi" w:hAnsiTheme="majorHAnsi" w:cstheme="majorHAnsi"/>
          <w:sz w:val="26"/>
          <w:szCs w:val="26"/>
        </w:rPr>
        <w:t>POCO entities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 xml:space="preserve">and Code-First approach). That is why the domain model layer complies with the </w:t>
      </w:r>
      <w:r w:rsidRPr="000034C0">
        <w:rPr>
          <w:rFonts w:asciiTheme="majorHAnsi" w:hAnsiTheme="majorHAnsi" w:cstheme="majorHAnsi"/>
          <w:i/>
          <w:iCs/>
          <w:sz w:val="26"/>
          <w:szCs w:val="26"/>
        </w:rPr>
        <w:t xml:space="preserve">persistence ignorant principle </w:t>
      </w:r>
      <w:r w:rsidRPr="000034C0">
        <w:rPr>
          <w:rFonts w:asciiTheme="majorHAnsi" w:hAnsiTheme="majorHAnsi" w:cstheme="majorHAnsi"/>
          <w:sz w:val="26"/>
          <w:szCs w:val="26"/>
        </w:rPr>
        <w:t>regarding the dataaccess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technologies you may use.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sz w:val="26"/>
          <w:szCs w:val="26"/>
        </w:rPr>
      </w:pPr>
      <w:r w:rsidRPr="000034C0">
        <w:rPr>
          <w:rFonts w:asciiTheme="majorHAnsi" w:hAnsiTheme="majorHAnsi" w:cstheme="majorHAnsi"/>
          <w:sz w:val="26"/>
          <w:szCs w:val="26"/>
        </w:rPr>
        <w:t>You should apply advanced approaches (like DDD or CQRS) only within the bounded contexts that focus on the core-domain of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the application. Other collateral and simpler bounded contexts or subsystems may be implemented following data-driven and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CRUD approaches, as shown in Figure 5-30.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sz w:val="26"/>
          <w:szCs w:val="26"/>
        </w:rPr>
      </w:pPr>
      <w:r w:rsidRPr="000034C0">
        <w:rPr>
          <w:rFonts w:asciiTheme="majorHAnsi" w:hAnsiTheme="majorHAnsi" w:cstheme="majorHAnsi"/>
          <w:sz w:val="26"/>
          <w:szCs w:val="26"/>
        </w:rPr>
        <w:t>The logical architecture shown in Figure 5-30 is the internal architectural approach. You may have top-level architectures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orchestrating different services and other specific physical and infrastructure architectures (tiers and elastic services in private or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public clouds, and so on) where you deploy those services, as shown in Figure 5-31 and Figure 5-32.</w:t>
      </w:r>
    </w:p>
    <w:p w:rsidR="00571492" w:rsidRPr="000034C0" w:rsidRDefault="00571492" w:rsidP="00AF2EBE">
      <w:pPr>
        <w:spacing w:after="120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noProof/>
          <w:color w:val="000000"/>
          <w:sz w:val="26"/>
          <w:szCs w:val="26"/>
          <w:lang w:eastAsia="vi-VN"/>
        </w:rPr>
        <w:lastRenderedPageBreak/>
        <w:drawing>
          <wp:inline distT="0" distB="0" distL="0" distR="0">
            <wp:extent cx="4777740" cy="3025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92" w:rsidRPr="000034C0" w:rsidRDefault="00571492" w:rsidP="00AF2EBE">
      <w:pPr>
        <w:spacing w:after="120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Figure 5-31</w:t>
      </w:r>
    </w:p>
    <w:p w:rsidR="00571492" w:rsidRPr="000034C0" w:rsidRDefault="00571492" w:rsidP="00AF2EBE">
      <w:pPr>
        <w:spacing w:after="120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noProof/>
          <w:color w:val="000000"/>
          <w:sz w:val="26"/>
          <w:szCs w:val="26"/>
          <w:lang w:eastAsia="vi-VN"/>
        </w:rPr>
        <w:drawing>
          <wp:inline distT="0" distB="0" distL="0" distR="0">
            <wp:extent cx="4716780" cy="42824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92" w:rsidRPr="000034C0" w:rsidRDefault="00571492" w:rsidP="00AF2EBE">
      <w:pPr>
        <w:spacing w:after="120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Figure 5-32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The services used by a 3-tier application can be composed of a number of bounded contexts. Each bounded context could have a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unique data source, or they could share the same sources. It’s important that each bounded context has its own domain entity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model, which usually means its own database schema.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lastRenderedPageBreak/>
        <w:t>In SOA, a service could match a bounded context, but it is not mandatory. A bounded context could also be composed by several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services, or vice versa—a large service could be composed of several bounded contexts.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b/>
          <w:bCs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72C7"/>
          <w:sz w:val="26"/>
          <w:szCs w:val="26"/>
        </w:rPr>
        <w:t>Bounded contexts and domain models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Bounded contexts deal with different aspects of the domain that represents a singular real-world (domain) concept. Bounded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contexts are autonomous components, with their own domain models and their own ubiquitous language (concrete domain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terms). They should not have any dependencies on each other at runtime and should be capable of running in isolation.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Bounded contexts give team members a clear and shared understanding of what has to be consistent and what can develop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independently. Therefore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, for each bounded context, you need to define a boundary around the delimited applicability and</w:t>
      </w:r>
      <w:r w:rsidR="00B4284D" w:rsidRPr="000034C0">
        <w:rPr>
          <w:rFonts w:asciiTheme="majorHAnsi" w:hAnsiTheme="majorHAnsi" w:cstheme="majorHAnsi"/>
          <w:b/>
          <w:bCs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consistency of a particular model.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Because of this, each bounded context usually has its own ubiquitous language that impacts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its own model, so when you are talking about similar concepts and entities in several bounded contexts, they probably will have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different attributes and potentially even different names and terms.</w:t>
      </w:r>
    </w:p>
    <w:p w:rsidR="00571492" w:rsidRPr="000034C0" w:rsidRDefault="00571492" w:rsidP="00AF2EBE">
      <w:pPr>
        <w:spacing w:after="120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Decomposing a Traditional Model</w:t>
      </w:r>
    </w:p>
    <w:p w:rsidR="00571492" w:rsidRPr="000034C0" w:rsidRDefault="00571492" w:rsidP="00AF2EBE">
      <w:pPr>
        <w:spacing w:after="120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noProof/>
          <w:color w:val="000000"/>
          <w:sz w:val="26"/>
          <w:szCs w:val="26"/>
          <w:lang w:eastAsia="vi-VN"/>
        </w:rPr>
        <w:drawing>
          <wp:inline distT="0" distB="0" distL="0" distR="0">
            <wp:extent cx="5731510" cy="3763113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92" w:rsidRPr="000034C0" w:rsidRDefault="00571492" w:rsidP="00AF2EBE">
      <w:pPr>
        <w:spacing w:after="120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Figure 5-33</w:t>
      </w:r>
    </w:p>
    <w:p w:rsidR="00F42080" w:rsidRPr="000034C0" w:rsidRDefault="00F42080" w:rsidP="00AF2EBE">
      <w:pPr>
        <w:spacing w:after="120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br w:type="page"/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lastRenderedPageBreak/>
        <w:t>The pseudo entity diagram in Figure 5-33 shows a possible approach for a decomposition of traditional “upfront entities” (antipattern)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into several bounded contexts (BCs). We must have a different model for each bounded context, but in many cases (like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Figure 5-33), you have the same “concept” of entity in several models, using the same entity name, but probably with some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different attributes.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In that example, we are splitting entities based on what attributes have to be consistent between them and impact to each other.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For instance, the </w:t>
      </w:r>
      <w:r w:rsidRPr="000034C0">
        <w:rPr>
          <w:rFonts w:asciiTheme="majorHAnsi" w:hAnsiTheme="majorHAnsi" w:cstheme="majorHAnsi"/>
          <w:i/>
          <w:iCs/>
          <w:color w:val="000000"/>
          <w:sz w:val="26"/>
          <w:szCs w:val="26"/>
        </w:rPr>
        <w:t xml:space="preserve">Registrant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entity class in a hypothetical </w:t>
      </w:r>
      <w:r w:rsidRPr="000034C0">
        <w:rPr>
          <w:rFonts w:asciiTheme="majorHAnsi" w:hAnsiTheme="majorHAnsi" w:cstheme="majorHAnsi"/>
          <w:i/>
          <w:iCs/>
          <w:color w:val="000000"/>
          <w:sz w:val="26"/>
          <w:szCs w:val="26"/>
        </w:rPr>
        <w:t xml:space="preserve">ConferencesManagementBC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might have personal data like name, address,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company data, and so on. But it is likely that the “Status” attribute makes more sense within the </w:t>
      </w:r>
      <w:r w:rsidRPr="000034C0">
        <w:rPr>
          <w:rFonts w:asciiTheme="majorHAnsi" w:hAnsiTheme="majorHAnsi" w:cstheme="majorHAnsi"/>
          <w:i/>
          <w:iCs/>
          <w:color w:val="000000"/>
          <w:sz w:val="26"/>
          <w:szCs w:val="26"/>
        </w:rPr>
        <w:t xml:space="preserve">Registrant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entity class in a different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BC called, for instance, </w:t>
      </w:r>
      <w:r w:rsidRPr="000034C0">
        <w:rPr>
          <w:rFonts w:asciiTheme="majorHAnsi" w:hAnsiTheme="majorHAnsi" w:cstheme="majorHAnsi"/>
          <w:i/>
          <w:iCs/>
          <w:color w:val="000000"/>
          <w:sz w:val="26"/>
          <w:szCs w:val="26"/>
        </w:rPr>
        <w:t>OrderingBC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, because that attribute must be consistent with the conference </w:t>
      </w:r>
      <w:r w:rsidRPr="000034C0">
        <w:rPr>
          <w:rFonts w:asciiTheme="majorHAnsi" w:hAnsiTheme="majorHAnsi" w:cstheme="majorHAnsi"/>
          <w:i/>
          <w:iCs/>
          <w:color w:val="000000"/>
          <w:sz w:val="26"/>
          <w:szCs w:val="26"/>
        </w:rPr>
        <w:t xml:space="preserve">RegisteredAttendees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attribute.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Therefore, BC boundaries must also be identified based on consistency between the data and which attributes impact other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attributes and which ones don’t impact at all. For example, if you change the registrant’s </w:t>
      </w:r>
      <w:r w:rsidRPr="000034C0">
        <w:rPr>
          <w:rFonts w:asciiTheme="majorHAnsi" w:hAnsiTheme="majorHAnsi" w:cstheme="majorHAnsi"/>
          <w:i/>
          <w:iCs/>
          <w:color w:val="000000"/>
          <w:sz w:val="26"/>
          <w:szCs w:val="26"/>
        </w:rPr>
        <w:t>FirstName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, that won’t affect the conference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registration attributes.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Sometimes you’ll need to have redundant attributes in different bounded contexts (try to minimize that). In those cases, you’ll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have to deal and embrace “</w:t>
      </w:r>
      <w:r w:rsidRPr="000034C0">
        <w:rPr>
          <w:rFonts w:asciiTheme="majorHAnsi" w:hAnsiTheme="majorHAnsi" w:cstheme="majorHAnsi"/>
          <w:color w:val="0072C7"/>
          <w:sz w:val="26"/>
          <w:szCs w:val="26"/>
        </w:rPr>
        <w:t>eventual consistency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”. You also use eventual consistency between different Aggregates (consistent set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of entities).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Also, taking a look at the required relationships between entities (grouping them in </w:t>
      </w:r>
      <w:r w:rsidRPr="000034C0">
        <w:rPr>
          <w:rFonts w:asciiTheme="majorHAnsi" w:hAnsiTheme="majorHAnsi" w:cstheme="majorHAnsi"/>
          <w:color w:val="0072C7"/>
          <w:sz w:val="26"/>
          <w:szCs w:val="26"/>
        </w:rPr>
        <w:t>aggregates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) is a good way to identify BCs. If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some area of the initial model is really isolated from other areas in the potential application, that area should probably be a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bounded context. Figure 5-34 illustrates this process.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Each bounded context and domain model is a different vision of the same reality (the domain), but for a different use and purpose.</w:t>
      </w:r>
    </w:p>
    <w:p w:rsidR="009A30D4" w:rsidRPr="000034C0" w:rsidRDefault="009A30D4" w:rsidP="00AF2EBE">
      <w:pPr>
        <w:spacing w:after="120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Identifying Bounded Contexts</w:t>
      </w:r>
    </w:p>
    <w:p w:rsidR="009A30D4" w:rsidRPr="000034C0" w:rsidRDefault="009A30D4" w:rsidP="00AF2EBE">
      <w:pPr>
        <w:spacing w:after="120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noProof/>
          <w:color w:val="000000"/>
          <w:sz w:val="26"/>
          <w:szCs w:val="26"/>
          <w:lang w:eastAsia="vi-VN"/>
        </w:rPr>
        <w:drawing>
          <wp:inline distT="0" distB="0" distL="0" distR="0" wp14:anchorId="344423D9" wp14:editId="352016A5">
            <wp:extent cx="5731510" cy="3269947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D4" w:rsidRPr="000034C0" w:rsidRDefault="009A30D4" w:rsidP="00AF2EBE">
      <w:pPr>
        <w:spacing w:after="120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lastRenderedPageBreak/>
        <w:t>Figure 5-34</w:t>
      </w:r>
    </w:p>
    <w:p w:rsidR="009A30D4" w:rsidRPr="000034C0" w:rsidRDefault="009A30D4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In order to understand it, there is a famous metaphor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from Eric Evans saying that the world (the reality) is the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domain and any kind of world-map is a different BC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with its own domain model.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When designing and implementing entities, it is also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fundamental not to have an “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anemic-domain model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”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(anti-pattern) in DDD. Entity classes should have their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own domain logic within the entity-class methods.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The implementation of Domain Model Entities using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Microsoft development technology can be achieved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through different ways, though the way recommended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by Microsoft is by using POCO (Plain Old CLR Objects)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entities (plain classes) that must comply with the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“Persistence ignorant”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principle (no dependencies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from the entities themselves to infrastructure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technology). Then, the model must be loosely-coupled to infrastructure data persistence technologies like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Microsoft Entity</w:t>
      </w:r>
      <w:r w:rsidR="00B4284D" w:rsidRPr="000034C0">
        <w:rPr>
          <w:rFonts w:asciiTheme="majorHAnsi" w:hAnsiTheme="majorHAnsi" w:cstheme="majorHAnsi"/>
          <w:b/>
          <w:bCs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Framework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and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Code-First approach mappings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. Other 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lternatives include different O/RMs, like NHibernate, or custom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approaches “from scratch” based on plain ADO.NET. But, in any case, the final dependencies (entities and repository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contracts/interfaces) have to be within the model rather than in the infrastructure technologies. That is a crucial difference between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DDD-layered architectures compared to regular layered architectures.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b/>
          <w:bCs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72C7"/>
          <w:sz w:val="26"/>
          <w:szCs w:val="26"/>
        </w:rPr>
        <w:t>Implementing Domain-Driven Design patterns and other features with .NET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When applying Domain-Driven Design, each layer will usually implement different patterns like </w:t>
      </w:r>
      <w:r w:rsidRPr="000034C0">
        <w:rPr>
          <w:rFonts w:asciiTheme="majorHAnsi" w:hAnsiTheme="majorHAnsi" w:cstheme="majorHAnsi"/>
          <w:i/>
          <w:iCs/>
          <w:color w:val="000000"/>
          <w:sz w:val="26"/>
          <w:szCs w:val="26"/>
        </w:rPr>
        <w:t>Domain Entity, Aggregate,</w:t>
      </w:r>
      <w:r w:rsidR="00B4284D" w:rsidRPr="000034C0">
        <w:rPr>
          <w:rFonts w:asciiTheme="majorHAnsi" w:hAnsiTheme="majorHAnsi" w:cstheme="majorHAnsi"/>
          <w:i/>
          <w:iCs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i/>
          <w:iCs/>
          <w:color w:val="000000"/>
          <w:sz w:val="26"/>
          <w:szCs w:val="26"/>
        </w:rPr>
        <w:t xml:space="preserve">Aggregate-Root,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loose coupling between aggregates, </w:t>
      </w:r>
      <w:r w:rsidRPr="000034C0">
        <w:rPr>
          <w:rFonts w:asciiTheme="majorHAnsi" w:hAnsiTheme="majorHAnsi" w:cstheme="majorHAnsi"/>
          <w:i/>
          <w:iCs/>
          <w:color w:val="000000"/>
          <w:sz w:val="26"/>
          <w:szCs w:val="26"/>
        </w:rPr>
        <w:t>Aggregate storage, Value-Object, Repository, Unit of Work, Domain Service,</w:t>
      </w:r>
      <w:r w:rsidR="00B4284D" w:rsidRPr="000034C0">
        <w:rPr>
          <w:rFonts w:asciiTheme="majorHAnsi" w:hAnsiTheme="majorHAnsi" w:cstheme="majorHAnsi"/>
          <w:i/>
          <w:iCs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i/>
          <w:iCs/>
          <w:color w:val="000000"/>
          <w:sz w:val="26"/>
          <w:szCs w:val="26"/>
        </w:rPr>
        <w:t xml:space="preserve">Factory, Domain events,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eventual consistency and so on. (For detailed explanations of these patterns, please refer to the DDD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references cited below.)</w:t>
      </w:r>
    </w:p>
    <w:p w:rsidR="00F42080" w:rsidRPr="000034C0" w:rsidRDefault="00F42080" w:rsidP="00AF2EBE">
      <w:pPr>
        <w:spacing w:after="120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br w:type="page"/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lastRenderedPageBreak/>
        <w:t xml:space="preserve">Figure 5-35 shows a suggested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implementation path of typical DDD patterns and infrastructure features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using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Microsoft</w:t>
      </w:r>
      <w:r w:rsidR="00B4284D" w:rsidRPr="000034C0">
        <w:rPr>
          <w:rFonts w:asciiTheme="majorHAnsi" w:hAnsiTheme="majorHAnsi" w:cstheme="majorHAnsi"/>
          <w:b/>
          <w:bCs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technologies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.</w:t>
      </w:r>
    </w:p>
    <w:p w:rsidR="009A30D4" w:rsidRPr="000034C0" w:rsidRDefault="009A30D4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Mapping from Patterns to Technologies</w:t>
      </w:r>
    </w:p>
    <w:p w:rsidR="009A30D4" w:rsidRPr="000034C0" w:rsidRDefault="009A30D4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noProof/>
          <w:color w:val="000000"/>
          <w:sz w:val="26"/>
          <w:szCs w:val="26"/>
          <w:lang w:eastAsia="vi-VN"/>
        </w:rPr>
        <w:drawing>
          <wp:inline distT="0" distB="0" distL="0" distR="0">
            <wp:extent cx="5731510" cy="2663582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D4" w:rsidRPr="000034C0" w:rsidRDefault="009A30D4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Figure 5-35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When using relational databases and implementing DDD patterns using .NET, the </w:t>
      </w:r>
      <w:r w:rsidRPr="000034C0">
        <w:rPr>
          <w:rFonts w:asciiTheme="majorHAnsi" w:hAnsiTheme="majorHAnsi" w:cstheme="majorHAnsi"/>
          <w:i/>
          <w:iCs/>
          <w:color w:val="000000"/>
          <w:sz w:val="26"/>
          <w:szCs w:val="26"/>
        </w:rPr>
        <w:t>Domain-Entity, Aggregate, Aggregate-Root,</w:t>
      </w:r>
      <w:r w:rsidR="00B4284D" w:rsidRPr="000034C0">
        <w:rPr>
          <w:rFonts w:asciiTheme="majorHAnsi" w:hAnsiTheme="majorHAnsi" w:cstheme="majorHAnsi"/>
          <w:i/>
          <w:iCs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i/>
          <w:iCs/>
          <w:color w:val="000000"/>
          <w:sz w:val="26"/>
          <w:szCs w:val="26"/>
        </w:rPr>
        <w:t xml:space="preserve">Repository and Unit of Work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patterns can be easily implemented relaying those patterns on any O/RM like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Microsoft Entity</w:t>
      </w:r>
      <w:r w:rsidR="00B4284D" w:rsidRPr="000034C0">
        <w:rPr>
          <w:rFonts w:asciiTheme="majorHAnsi" w:hAnsiTheme="majorHAnsi" w:cstheme="majorHAnsi"/>
          <w:b/>
          <w:bCs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Framework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or any other O/RM. But, it depends on your application priorities and requirements. Other times, an </w:t>
      </w:r>
      <w:r w:rsidRPr="000034C0">
        <w:rPr>
          <w:rFonts w:asciiTheme="majorHAnsi" w:hAnsiTheme="majorHAnsi" w:cstheme="majorHAnsi"/>
          <w:i/>
          <w:iCs/>
          <w:color w:val="000000"/>
          <w:sz w:val="26"/>
          <w:szCs w:val="26"/>
        </w:rPr>
        <w:t>Aggregate storage</w:t>
      </w:r>
      <w:r w:rsidR="00B4284D" w:rsidRPr="000034C0">
        <w:rPr>
          <w:rFonts w:asciiTheme="majorHAnsi" w:hAnsiTheme="majorHAnsi" w:cstheme="majorHAnsi"/>
          <w:i/>
          <w:iCs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based on a </w:t>
      </w:r>
      <w:r w:rsidRPr="000034C0">
        <w:rPr>
          <w:rFonts w:asciiTheme="majorHAnsi" w:hAnsiTheme="majorHAnsi" w:cstheme="majorHAnsi"/>
          <w:i/>
          <w:iCs/>
          <w:color w:val="000000"/>
          <w:sz w:val="26"/>
          <w:szCs w:val="26"/>
        </w:rPr>
        <w:t xml:space="preserve">NoSQL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or </w:t>
      </w:r>
      <w:r w:rsidRPr="000034C0">
        <w:rPr>
          <w:rFonts w:asciiTheme="majorHAnsi" w:hAnsiTheme="majorHAnsi" w:cstheme="majorHAnsi"/>
          <w:i/>
          <w:iCs/>
          <w:color w:val="000000"/>
          <w:sz w:val="26"/>
          <w:szCs w:val="26"/>
        </w:rPr>
        <w:t xml:space="preserve">document databases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(non-relational, so no O/RM usage) is a better approach (e.g., for </w:t>
      </w:r>
      <w:r w:rsidRPr="000034C0">
        <w:rPr>
          <w:rFonts w:asciiTheme="majorHAnsi" w:hAnsiTheme="majorHAnsi" w:cstheme="majorHAnsi"/>
          <w:i/>
          <w:iCs/>
          <w:color w:val="0072C7"/>
          <w:sz w:val="26"/>
          <w:szCs w:val="26"/>
        </w:rPr>
        <w:t xml:space="preserve">Event-Sourcing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and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aggregate events storage).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There is a wealth of resources regarding cross-cutting concerns, operations, security, and instrumentation subjects on MSDN.com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and Microsoft Patterns and Practices documentation if you’d like to learn more.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References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The Anemic Domain Model </w:t>
      </w:r>
      <w:r w:rsidRPr="000034C0">
        <w:rPr>
          <w:rFonts w:asciiTheme="majorHAnsi" w:hAnsiTheme="majorHAnsi" w:cstheme="majorHAnsi"/>
          <w:color w:val="0072C7"/>
          <w:sz w:val="26"/>
          <w:szCs w:val="26"/>
        </w:rPr>
        <w:t>http://www.martinfowler.com/bliki/AnemicDomainModel.html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POCO Entity classes (POCO: Plain Old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CLR Objects)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http://en.wikipedia.org/wiki/Plain Old CLR Object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Employing the Domain Model Pattern </w:t>
      </w:r>
      <w:r w:rsidRPr="000034C0">
        <w:rPr>
          <w:rFonts w:asciiTheme="majorHAnsi" w:hAnsiTheme="majorHAnsi" w:cstheme="majorHAnsi"/>
          <w:color w:val="0072C7"/>
          <w:sz w:val="26"/>
          <w:szCs w:val="26"/>
        </w:rPr>
        <w:t>http://msdn.microsoft.com/en-us/magazine/ee236415.aspx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Entity Framework </w:t>
      </w:r>
      <w:r w:rsidRPr="000034C0">
        <w:rPr>
          <w:rFonts w:asciiTheme="majorHAnsi" w:hAnsiTheme="majorHAnsi" w:cstheme="majorHAnsi"/>
          <w:color w:val="0072C7"/>
          <w:sz w:val="26"/>
          <w:szCs w:val="26"/>
        </w:rPr>
        <w:t>http://msdn.microsoft.com/en-us/library/jj591559 aspx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Event Sourcing </w:t>
      </w:r>
      <w:r w:rsidRPr="000034C0">
        <w:rPr>
          <w:rFonts w:asciiTheme="majorHAnsi" w:hAnsiTheme="majorHAnsi" w:cstheme="majorHAnsi"/>
          <w:color w:val="0072C7"/>
          <w:sz w:val="26"/>
          <w:szCs w:val="26"/>
        </w:rPr>
        <w:t>http://codebetter.com/gregyoung/2010/02/20/why-use-event-sourcing/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i/>
          <w:iCs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i/>
          <w:iCs/>
          <w:color w:val="0072C7"/>
          <w:sz w:val="26"/>
          <w:szCs w:val="26"/>
        </w:rPr>
        <w:t>Scenario: CQRS Subsystem (Bounded Context)</w:t>
      </w:r>
    </w:p>
    <w:p w:rsidR="00571492" w:rsidRPr="000034C0" w:rsidRDefault="00571492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lastRenderedPageBreak/>
        <w:t>This scenario covers core-business subsystems based on CQRS (Command and Query Responsibility Segregation). CQRS is usually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related to DDD, in particular, with contexts where users are competing for application resources and when the application requires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high scalability (common in mission-critical applications, especially when facing an unlimited number of Internet users).</w:t>
      </w:r>
    </w:p>
    <w:p w:rsidR="00F42080" w:rsidRPr="000034C0" w:rsidRDefault="00F42080" w:rsidP="00AF2EBE">
      <w:pPr>
        <w:spacing w:after="120"/>
        <w:rPr>
          <w:rFonts w:asciiTheme="majorHAnsi" w:hAnsiTheme="majorHAnsi" w:cstheme="majorHAnsi"/>
          <w:sz w:val="26"/>
          <w:szCs w:val="26"/>
        </w:rPr>
      </w:pPr>
      <w:r w:rsidRPr="000034C0">
        <w:rPr>
          <w:rFonts w:asciiTheme="majorHAnsi" w:hAnsiTheme="majorHAnsi" w:cstheme="majorHAnsi"/>
          <w:sz w:val="26"/>
          <w:szCs w:val="26"/>
        </w:rPr>
        <w:br w:type="page"/>
      </w:r>
    </w:p>
    <w:p w:rsidR="00115CEC" w:rsidRPr="000034C0" w:rsidRDefault="00115CEC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sz w:val="26"/>
          <w:szCs w:val="26"/>
        </w:rPr>
      </w:pPr>
      <w:r w:rsidRPr="000034C0">
        <w:rPr>
          <w:rFonts w:asciiTheme="majorHAnsi" w:hAnsiTheme="majorHAnsi" w:cstheme="majorHAnsi"/>
          <w:sz w:val="26"/>
          <w:szCs w:val="26"/>
        </w:rPr>
        <w:lastRenderedPageBreak/>
        <w:t>Betrand Meyer introduced the term “Command Query Separation” to describe the principle that an object’s methods should be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either commands or queries. A query returns data and does not alter the state of the object; a command changes the state of an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object but does not return any data. The benefit is that you have a better understanding what does, and what does not, change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the state in your system.</w:t>
      </w:r>
    </w:p>
    <w:p w:rsidR="00115CEC" w:rsidRPr="000034C0" w:rsidRDefault="00115CEC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sz w:val="26"/>
          <w:szCs w:val="26"/>
        </w:rPr>
      </w:pPr>
      <w:r w:rsidRPr="000034C0">
        <w:rPr>
          <w:rFonts w:asciiTheme="majorHAnsi" w:hAnsiTheme="majorHAnsi" w:cstheme="majorHAnsi"/>
          <w:sz w:val="26"/>
          <w:szCs w:val="26"/>
        </w:rPr>
        <w:t>CQRS takes this principle a step further to define a simple pattern.</w:t>
      </w:r>
    </w:p>
    <w:p w:rsidR="00115CEC" w:rsidRPr="000034C0" w:rsidRDefault="00115CEC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i/>
          <w:iCs/>
          <w:sz w:val="26"/>
          <w:szCs w:val="26"/>
        </w:rPr>
      </w:pPr>
      <w:r w:rsidRPr="000034C0">
        <w:rPr>
          <w:rFonts w:asciiTheme="majorHAnsi" w:hAnsiTheme="majorHAnsi" w:cstheme="majorHAnsi"/>
          <w:i/>
          <w:iCs/>
          <w:sz w:val="26"/>
          <w:szCs w:val="26"/>
        </w:rPr>
        <w:t>"CQRS is simply the creation of two objects where there was previously only one. The separation occurs based upon whether the</w:t>
      </w:r>
      <w:r w:rsidR="00B4284D" w:rsidRPr="000034C0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i/>
          <w:iCs/>
          <w:sz w:val="26"/>
          <w:szCs w:val="26"/>
        </w:rPr>
        <w:t>methods are a command or a query (the same definition that is used by Meyer in Command and Query Separation: a command</w:t>
      </w:r>
      <w:r w:rsidR="00B4284D" w:rsidRPr="000034C0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i/>
          <w:iCs/>
          <w:sz w:val="26"/>
          <w:szCs w:val="26"/>
        </w:rPr>
        <w:t>is any method that mutates state and a query is any method that returns a value)."</w:t>
      </w:r>
    </w:p>
    <w:p w:rsidR="00115CEC" w:rsidRPr="000034C0" w:rsidRDefault="00115CEC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sz w:val="26"/>
          <w:szCs w:val="26"/>
        </w:rPr>
      </w:pPr>
      <w:r w:rsidRPr="000034C0">
        <w:rPr>
          <w:rFonts w:asciiTheme="majorHAnsi" w:hAnsiTheme="majorHAnsi" w:cstheme="majorHAnsi"/>
          <w:sz w:val="26"/>
          <w:szCs w:val="26"/>
        </w:rPr>
        <w:t>—Greg Young</w:t>
      </w:r>
    </w:p>
    <w:p w:rsidR="00571492" w:rsidRPr="000034C0" w:rsidRDefault="00115CEC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0034C0">
        <w:rPr>
          <w:rFonts w:asciiTheme="majorHAnsi" w:hAnsiTheme="majorHAnsi" w:cstheme="majorHAnsi"/>
          <w:sz w:val="26"/>
          <w:szCs w:val="26"/>
        </w:rPr>
        <w:t>Figure 5-35 shows a typical application of the CQRS pattern to a portion (BC) of an enterprise system. This approach shows how,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when you apply th</w:t>
      </w:r>
      <w:bookmarkStart w:id="7" w:name="_GoBack"/>
      <w:bookmarkEnd w:id="7"/>
      <w:r w:rsidRPr="000034C0">
        <w:rPr>
          <w:rFonts w:asciiTheme="majorHAnsi" w:hAnsiTheme="majorHAnsi" w:cstheme="majorHAnsi"/>
          <w:sz w:val="26"/>
          <w:szCs w:val="26"/>
        </w:rPr>
        <w:t xml:space="preserve">e CQRS pattern, you can separate the read and write sides in this portion of the system. </w:t>
      </w:r>
      <w:r w:rsidRPr="000034C0">
        <w:rPr>
          <w:rFonts w:asciiTheme="majorHAnsi" w:hAnsiTheme="majorHAnsi" w:cstheme="majorHAnsi"/>
          <w:b/>
          <w:bCs/>
          <w:sz w:val="26"/>
          <w:szCs w:val="26"/>
        </w:rPr>
        <w:t>CQRS can be a good</w:t>
      </w:r>
      <w:r w:rsidR="00B4284D" w:rsidRPr="000034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b/>
          <w:bCs/>
          <w:sz w:val="26"/>
          <w:szCs w:val="26"/>
        </w:rPr>
        <w:t>fit for many Windows Azure cloud scenarios.</w:t>
      </w:r>
    </w:p>
    <w:p w:rsidR="00F42080" w:rsidRPr="000034C0" w:rsidRDefault="00F42080" w:rsidP="00AF2EBE">
      <w:pPr>
        <w:spacing w:after="120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CQRS Approach Within a Large Application</w:t>
      </w:r>
    </w:p>
    <w:p w:rsidR="00F42080" w:rsidRPr="000034C0" w:rsidRDefault="00F42080" w:rsidP="00AF2EBE">
      <w:pPr>
        <w:spacing w:after="120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noProof/>
          <w:color w:val="000000"/>
          <w:sz w:val="26"/>
          <w:szCs w:val="26"/>
          <w:lang w:eastAsia="vi-VN"/>
        </w:rPr>
        <w:drawing>
          <wp:inline distT="0" distB="0" distL="0" distR="0">
            <wp:extent cx="5731510" cy="2856937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080" w:rsidRPr="000034C0" w:rsidRDefault="00F42080" w:rsidP="00AF2EBE">
      <w:pPr>
        <w:spacing w:after="120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Figure 5-36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References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CQRS Journey guidance – by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Microsoft patterns &amp; practices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http://msdn.microsoft.com/en-us/library/jj554200.aspx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CQRS on Windows Azure </w:t>
      </w:r>
      <w:r w:rsidRPr="000034C0">
        <w:rPr>
          <w:rFonts w:asciiTheme="majorHAnsi" w:hAnsiTheme="majorHAnsi" w:cstheme="majorHAnsi"/>
          <w:color w:val="0072C7"/>
          <w:sz w:val="26"/>
          <w:szCs w:val="26"/>
        </w:rPr>
        <w:t>http://msdn.microsoft.com/en-us/magazine/gg983487.aspx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Greg Young </w:t>
      </w:r>
      <w:r w:rsidRPr="000034C0">
        <w:rPr>
          <w:rFonts w:asciiTheme="majorHAnsi" w:hAnsiTheme="majorHAnsi" w:cstheme="majorHAnsi"/>
          <w:color w:val="0072C7"/>
          <w:sz w:val="26"/>
          <w:szCs w:val="26"/>
        </w:rPr>
        <w:t>http://cqrs.files.wordpress.com/2010/11/cqrs documents.pdf</w:t>
      </w:r>
    </w:p>
    <w:p w:rsidR="00F42080" w:rsidRPr="000034C0" w:rsidRDefault="00F42080" w:rsidP="00AF2EBE">
      <w:pPr>
        <w:spacing w:after="120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Udi Dahan </w:t>
      </w:r>
      <w:hyperlink r:id="rId11" w:history="1">
        <w:r w:rsidRPr="000034C0">
          <w:rPr>
            <w:rStyle w:val="Hyperlink"/>
            <w:rFonts w:asciiTheme="majorHAnsi" w:hAnsiTheme="majorHAnsi" w:cstheme="majorHAnsi"/>
            <w:sz w:val="26"/>
            <w:szCs w:val="26"/>
          </w:rPr>
          <w:t>http://www.udidahan.com/2009/12/09/clarified-cqrs/</w:t>
        </w:r>
      </w:hyperlink>
    </w:p>
    <w:p w:rsidR="00F42080" w:rsidRPr="000034C0" w:rsidRDefault="00F42080" w:rsidP="00AF2EBE">
      <w:pPr>
        <w:spacing w:after="120"/>
        <w:rPr>
          <w:rFonts w:asciiTheme="majorHAnsi" w:hAnsiTheme="majorHAnsi" w:cstheme="majorHAnsi"/>
          <w:color w:val="0072C7"/>
          <w:sz w:val="26"/>
          <w:szCs w:val="26"/>
        </w:rPr>
      </w:pPr>
    </w:p>
    <w:p w:rsidR="00B617AC" w:rsidRPr="000034C0" w:rsidRDefault="00B617AC" w:rsidP="00AF2EBE">
      <w:pPr>
        <w:spacing w:after="120"/>
        <w:rPr>
          <w:rFonts w:asciiTheme="majorHAnsi" w:hAnsiTheme="majorHAnsi" w:cstheme="majorHAnsi"/>
          <w:i/>
          <w:iCs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i/>
          <w:iCs/>
          <w:color w:val="0072C7"/>
          <w:sz w:val="26"/>
          <w:szCs w:val="26"/>
        </w:rPr>
        <w:br w:type="page"/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i/>
          <w:iCs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i/>
          <w:iCs/>
          <w:color w:val="0072C7"/>
          <w:sz w:val="26"/>
          <w:szCs w:val="26"/>
        </w:rPr>
        <w:lastRenderedPageBreak/>
        <w:t>Scenario: Communicating Different Bounded Contexts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Bounded contexts should not have dependencies on each other at runtime—they should be capable of running in isolation. A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large/complex application can have any number of interrelated bounded contexts,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each one with its own domain model,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as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shown in Figure 5-37. In a large application, there can be dozens of bounded contexts.</w:t>
      </w:r>
    </w:p>
    <w:p w:rsidR="00F42080" w:rsidRPr="000034C0" w:rsidRDefault="00F42080" w:rsidP="00AF2EBE">
      <w:pPr>
        <w:spacing w:after="120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Large Application with Many Subsystems</w:t>
      </w:r>
    </w:p>
    <w:p w:rsidR="00F42080" w:rsidRPr="000034C0" w:rsidRDefault="00F42080" w:rsidP="00AF2EBE">
      <w:pPr>
        <w:spacing w:after="120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noProof/>
          <w:color w:val="000000"/>
          <w:sz w:val="26"/>
          <w:szCs w:val="26"/>
          <w:lang w:eastAsia="vi-VN"/>
        </w:rPr>
        <w:drawing>
          <wp:inline distT="0" distB="0" distL="0" distR="0">
            <wp:extent cx="5731510" cy="249816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080" w:rsidRPr="000034C0" w:rsidRDefault="00F42080" w:rsidP="00AF2EBE">
      <w:pPr>
        <w:spacing w:after="120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Figure 5-37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sz w:val="26"/>
          <w:szCs w:val="26"/>
        </w:rPr>
      </w:pPr>
      <w:r w:rsidRPr="000034C0">
        <w:rPr>
          <w:rFonts w:asciiTheme="majorHAnsi" w:hAnsiTheme="majorHAnsi" w:cstheme="majorHAnsi"/>
          <w:sz w:val="26"/>
          <w:szCs w:val="26"/>
        </w:rPr>
        <w:t>However, BCs are a part of the same overall system or larger application and they need to exchange data with one another. Even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when they should be isolated from other BCs, information changes, and events that happen in one BC will impact others. Use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asynchronous communication base on events for this type of inter-BC communication. The bounded context can respond to events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 xml:space="preserve">that are raised </w:t>
      </w:r>
      <w:r w:rsidR="00B4284D" w:rsidRPr="000034C0">
        <w:rPr>
          <w:rFonts w:asciiTheme="majorHAnsi" w:hAnsiTheme="majorHAnsi" w:cstheme="majorHAnsi"/>
          <w:sz w:val="26"/>
          <w:szCs w:val="26"/>
        </w:rPr>
        <w:t xml:space="preserve">outside of the bounded context. </w:t>
      </w:r>
      <w:r w:rsidRPr="000034C0">
        <w:rPr>
          <w:rFonts w:asciiTheme="majorHAnsi" w:hAnsiTheme="majorHAnsi" w:cstheme="majorHAnsi"/>
          <w:sz w:val="26"/>
          <w:szCs w:val="26"/>
        </w:rPr>
        <w:t>Bounded context can publish events that other bounded contexts may subscribe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to. Events (one-way, asynchronous messages that publish information about something that has already happened) enable you to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sz w:val="26"/>
          <w:szCs w:val="26"/>
        </w:rPr>
      </w:pPr>
      <w:r w:rsidRPr="000034C0">
        <w:rPr>
          <w:rFonts w:asciiTheme="majorHAnsi" w:hAnsiTheme="majorHAnsi" w:cstheme="majorHAnsi"/>
          <w:sz w:val="26"/>
          <w:szCs w:val="26"/>
        </w:rPr>
        <w:t>maintain the loose coupling between your bounded contexts. These events can be referred to as integration events to indicate an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event that crosses bounded contexts.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sz w:val="26"/>
          <w:szCs w:val="26"/>
        </w:rPr>
      </w:pPr>
      <w:r w:rsidRPr="000034C0">
        <w:rPr>
          <w:rFonts w:asciiTheme="majorHAnsi" w:hAnsiTheme="majorHAnsi" w:cstheme="majorHAnsi"/>
          <w:sz w:val="26"/>
          <w:szCs w:val="26"/>
        </w:rPr>
        <w:t>When using integration events and asynchronous communication between bounded contexts, it doesn’t necessarily mean a SOA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or using a service bus. This communication could also be based on any type of event-bus that can be implemented using different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 xml:space="preserve">infrastructure technologies. Possibilities for an </w:t>
      </w:r>
      <w:r w:rsidRPr="000034C0">
        <w:rPr>
          <w:rFonts w:asciiTheme="majorHAnsi" w:hAnsiTheme="majorHAnsi" w:cstheme="majorHAnsi"/>
          <w:b/>
          <w:bCs/>
          <w:sz w:val="26"/>
          <w:szCs w:val="26"/>
        </w:rPr>
        <w:t xml:space="preserve">event-bus </w:t>
      </w:r>
      <w:r w:rsidRPr="000034C0">
        <w:rPr>
          <w:rFonts w:asciiTheme="majorHAnsi" w:hAnsiTheme="majorHAnsi" w:cstheme="majorHAnsi"/>
          <w:sz w:val="26"/>
          <w:szCs w:val="26"/>
        </w:rPr>
        <w:t xml:space="preserve">implementation include </w:t>
      </w:r>
      <w:r w:rsidRPr="000034C0">
        <w:rPr>
          <w:rFonts w:asciiTheme="majorHAnsi" w:hAnsiTheme="majorHAnsi" w:cstheme="majorHAnsi"/>
          <w:b/>
          <w:bCs/>
          <w:sz w:val="26"/>
          <w:szCs w:val="26"/>
        </w:rPr>
        <w:t xml:space="preserve">a simple in-memory bus, </w:t>
      </w:r>
      <w:r w:rsidRPr="000034C0">
        <w:rPr>
          <w:rFonts w:asciiTheme="majorHAnsi" w:hAnsiTheme="majorHAnsi" w:cstheme="majorHAnsi"/>
          <w:sz w:val="26"/>
          <w:szCs w:val="26"/>
        </w:rPr>
        <w:t>an inter-process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communication event bus using named-pipes (within the same server, if that is enough for our objectives or for Proof of Concept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 xml:space="preserve">purposes), message queues like MSMQ </w:t>
      </w:r>
      <w:r w:rsidRPr="000034C0">
        <w:rPr>
          <w:rFonts w:asciiTheme="majorHAnsi" w:hAnsiTheme="majorHAnsi" w:cstheme="majorHAnsi"/>
          <w:b/>
          <w:bCs/>
          <w:sz w:val="26"/>
          <w:szCs w:val="26"/>
        </w:rPr>
        <w:t xml:space="preserve">(Microsoft Message Queuing), </w:t>
      </w:r>
      <w:r w:rsidRPr="000034C0">
        <w:rPr>
          <w:rFonts w:asciiTheme="majorHAnsi" w:hAnsiTheme="majorHAnsi" w:cstheme="majorHAnsi"/>
          <w:sz w:val="26"/>
          <w:szCs w:val="26"/>
        </w:rPr>
        <w:t xml:space="preserve">or going for a full service bus like </w:t>
      </w:r>
      <w:r w:rsidRPr="000034C0">
        <w:rPr>
          <w:rFonts w:asciiTheme="majorHAnsi" w:hAnsiTheme="majorHAnsi" w:cstheme="majorHAnsi"/>
          <w:b/>
          <w:bCs/>
          <w:sz w:val="26"/>
          <w:szCs w:val="26"/>
        </w:rPr>
        <w:t>Windows Server</w:t>
      </w:r>
      <w:r w:rsidR="00B4284D" w:rsidRPr="000034C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b/>
          <w:bCs/>
          <w:sz w:val="26"/>
          <w:szCs w:val="26"/>
        </w:rPr>
        <w:t xml:space="preserve">Service Bus </w:t>
      </w:r>
      <w:r w:rsidRPr="000034C0">
        <w:rPr>
          <w:rFonts w:asciiTheme="majorHAnsi" w:hAnsiTheme="majorHAnsi" w:cstheme="majorHAnsi"/>
          <w:sz w:val="26"/>
          <w:szCs w:val="26"/>
        </w:rPr>
        <w:t xml:space="preserve">or </w:t>
      </w:r>
      <w:r w:rsidRPr="000034C0">
        <w:rPr>
          <w:rFonts w:asciiTheme="majorHAnsi" w:hAnsiTheme="majorHAnsi" w:cstheme="majorHAnsi"/>
          <w:b/>
          <w:bCs/>
          <w:sz w:val="26"/>
          <w:szCs w:val="26"/>
        </w:rPr>
        <w:t xml:space="preserve">Windows Azure Service Bus </w:t>
      </w:r>
      <w:r w:rsidRPr="000034C0">
        <w:rPr>
          <w:rFonts w:asciiTheme="majorHAnsi" w:hAnsiTheme="majorHAnsi" w:cstheme="majorHAnsi"/>
          <w:sz w:val="26"/>
          <w:szCs w:val="26"/>
        </w:rPr>
        <w:t xml:space="preserve">(or a third party service bus, like </w:t>
      </w:r>
      <w:r w:rsidRPr="000034C0">
        <w:rPr>
          <w:rFonts w:asciiTheme="majorHAnsi" w:hAnsiTheme="majorHAnsi" w:cstheme="majorHAnsi"/>
          <w:i/>
          <w:iCs/>
          <w:sz w:val="26"/>
          <w:szCs w:val="26"/>
        </w:rPr>
        <w:t>NServiceBus</w:t>
      </w:r>
      <w:r w:rsidRPr="000034C0">
        <w:rPr>
          <w:rFonts w:asciiTheme="majorHAnsi" w:hAnsiTheme="majorHAnsi" w:cstheme="majorHAnsi"/>
          <w:sz w:val="26"/>
          <w:szCs w:val="26"/>
        </w:rPr>
        <w:t>) for production systems.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sz w:val="26"/>
          <w:szCs w:val="26"/>
        </w:rPr>
        <w:t>The way of dealing with BCs integration events is almost identical to the way you deal with events in CQRS</w:t>
      </w:r>
      <w:r w:rsidRPr="000034C0">
        <w:rPr>
          <w:rFonts w:asciiTheme="majorHAnsi" w:hAnsiTheme="majorHAnsi" w:cstheme="majorHAnsi"/>
          <w:sz w:val="26"/>
          <w:szCs w:val="26"/>
        </w:rPr>
        <w:t>. The events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(simple message of any type) must be created after something has occurred in the domain storage (e.g., an update in the domain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lastRenderedPageBreak/>
        <w:t>storage). The event will be named in past tense and will be published into the event bus. It is fundamental that the event bus must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support a publish/subscription mechanism, so after publishing a message event in the event bus, any BC who was subscribed to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the event bus will get that event and perform an action in order to propagate it to its own domain model. Based on that approach,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 xml:space="preserve">you will have </w:t>
      </w:r>
      <w:r w:rsidRPr="000034C0">
        <w:rPr>
          <w:rFonts w:asciiTheme="majorHAnsi" w:hAnsiTheme="majorHAnsi" w:cstheme="majorHAnsi"/>
          <w:b/>
          <w:bCs/>
          <w:i/>
          <w:iCs/>
          <w:sz w:val="26"/>
          <w:szCs w:val="26"/>
        </w:rPr>
        <w:t xml:space="preserve">eventual consistency </w:t>
      </w:r>
      <w:r w:rsidRPr="000034C0">
        <w:rPr>
          <w:rFonts w:asciiTheme="majorHAnsi" w:hAnsiTheme="majorHAnsi" w:cstheme="majorHAnsi"/>
          <w:b/>
          <w:bCs/>
          <w:sz w:val="26"/>
          <w:szCs w:val="26"/>
        </w:rPr>
        <w:t>between all the bounded contexts.</w:t>
      </w:r>
    </w:p>
    <w:p w:rsidR="00F42080" w:rsidRPr="000034C0" w:rsidRDefault="00F42080" w:rsidP="00AF2EBE">
      <w:pPr>
        <w:spacing w:after="120"/>
        <w:rPr>
          <w:rFonts w:asciiTheme="majorHAnsi" w:hAnsiTheme="majorHAnsi" w:cstheme="majorHAnsi"/>
          <w:b/>
          <w:bCs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72C7"/>
          <w:sz w:val="26"/>
          <w:szCs w:val="26"/>
        </w:rPr>
        <w:br w:type="page"/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b/>
          <w:bCs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72C7"/>
          <w:sz w:val="26"/>
          <w:szCs w:val="26"/>
        </w:rPr>
        <w:lastRenderedPageBreak/>
        <w:t>Context maps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A large system, with dozens of bounded contexts and hundreds of different integration event types, can be difficult to understand.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Context maps are valuable records of which bounded contexts publish which integration events, and which bounded contexts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subscribe to which integration events.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Additionally, once you get to a large number of bounded contexts or integration event types, a service bus capable of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publish/subscription mechanisms becomes very convenient.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b/>
          <w:bCs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72C7"/>
          <w:sz w:val="26"/>
          <w:szCs w:val="26"/>
        </w:rPr>
        <w:t>Relationships between contexts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The different relationships that exist between two or more contexts depend greatly on the degree of communication between the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various teams in each context and the degree of control you have over them. For example, you may not be able to perform changes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in certain contexts, such as in the case of a system in production or a discontinued system.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b/>
          <w:bCs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72C7"/>
          <w:sz w:val="26"/>
          <w:szCs w:val="26"/>
        </w:rPr>
        <w:t>Shared kernel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This approach fits better for ‘Green field’ scenarios, where you are actually building an end-to-end application. In this case, when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you have two or more contexts where the teams who are working on them can communicate fluently, it is interesting to establish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a shared responsibility for certain objects that all the contexts use in common. An example might be certain shared areas of the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same Domain Model shared by two or more bounded contexts. These objects become what is known as a shared kernel for all the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contexts. In order to make a change on any object of the shared kernel, it is necessary to have the approval of all the teams who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own the contexts involved. Promoting a good communication between the different teams is critical as they are sharing the same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Domain model area (although those bounded contexts can also have their own different domain models, additionally).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i/>
          <w:iCs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i/>
          <w:iCs/>
          <w:color w:val="0072C7"/>
          <w:sz w:val="26"/>
          <w:szCs w:val="26"/>
        </w:rPr>
        <w:t>Scenario: Modernizing Legacy Mission-Critical Enterprise Applications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This scenario is very important in large mission-critical systems, as the systems have a very long, evolving life. There can be many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legacy and/or critical applications in the enterprise that need to be modernized. Usually the first step should be modernizing the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external face of those systems or parts of it. Adding a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Microsoft Windows Store mobile application (Windows 8 or Windows</w:t>
      </w:r>
      <w:r w:rsidR="00B4284D" w:rsidRPr="000034C0">
        <w:rPr>
          <w:rFonts w:asciiTheme="majorHAnsi" w:hAnsiTheme="majorHAnsi" w:cstheme="majorHAnsi"/>
          <w:b/>
          <w:bCs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Phone)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opens the application to </w:t>
      </w:r>
      <w:r w:rsidRPr="000034C0">
        <w:rPr>
          <w:rFonts w:asciiTheme="majorHAnsi" w:hAnsiTheme="majorHAnsi" w:cstheme="majorHAnsi"/>
          <w:i/>
          <w:iCs/>
          <w:color w:val="000000"/>
          <w:sz w:val="26"/>
          <w:szCs w:val="26"/>
        </w:rPr>
        <w:t>new experiences and scenarios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. A good example is a Host Application or a large legacy ERP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system—it often isn’t possible to migrate or modernize the whole system.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To modernize legacy systems, start creating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service façades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that wrap those legacy systems and expose them to new scalable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systems like persistent caches in the cloud in order to scale out and consume services from many new mobile clients. This approach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moves limited scalability in a legacy system to hypothetically unlimited scalability in cloud systems for new channels and users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(e.g., direct customer access).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However, in a long-term, large, core-business application there might be new bounded contexts (subsystems) that need to be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consistent with the older legacy systems. Here too, because of consistency required, it’s necessary to communicate and integrate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new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lastRenderedPageBreak/>
        <w:t>bounded contexts with older legacy subsystems. This requires certain approaches like the anti-corruption layer.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b/>
          <w:bCs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72C7"/>
          <w:sz w:val="26"/>
          <w:szCs w:val="26"/>
        </w:rPr>
        <w:t>The Anti-Corruption Layer</w:t>
      </w:r>
    </w:p>
    <w:p w:rsidR="00F42080" w:rsidRPr="000034C0" w:rsidRDefault="00F42080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This is probably the most important pattern regarding bounded contexts integration, especially when faced with teams that are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poorly communicating. This pattern is also important if one of the bounded contexts to integrate is a legacy bounded context,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which can have a different ubiquitous language (and therefore completely different models), and you do not want that to affect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 xml:space="preserve">your newer bounded contexts. For this type of situation you can implement an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anti-corruption layer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, an intermediate layer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between the different contexts that performs the required translations (related to model objects and also to integration events).</w:t>
      </w:r>
    </w:p>
    <w:p w:rsidR="00B617AC" w:rsidRPr="000034C0" w:rsidRDefault="00B617AC" w:rsidP="00AF2EBE">
      <w:pPr>
        <w:spacing w:after="120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br w:type="page"/>
      </w:r>
    </w:p>
    <w:p w:rsidR="00B617AC" w:rsidRPr="000034C0" w:rsidRDefault="00B617AC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lastRenderedPageBreak/>
        <w:t>Modernizing Established Systems Using the</w:t>
      </w:r>
    </w:p>
    <w:p w:rsidR="00F42080" w:rsidRPr="000034C0" w:rsidRDefault="00B617AC" w:rsidP="00AF2EBE">
      <w:pPr>
        <w:spacing w:after="120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Anti-Corruption Layer</w:t>
      </w:r>
    </w:p>
    <w:p w:rsidR="00B617AC" w:rsidRPr="000034C0" w:rsidRDefault="00B617AC" w:rsidP="00AF2EBE">
      <w:pPr>
        <w:spacing w:after="120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noProof/>
          <w:color w:val="000000"/>
          <w:sz w:val="26"/>
          <w:szCs w:val="26"/>
          <w:lang w:eastAsia="vi-VN"/>
        </w:rPr>
        <w:drawing>
          <wp:inline distT="0" distB="0" distL="0" distR="0">
            <wp:extent cx="5731510" cy="249816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AC" w:rsidRPr="000034C0" w:rsidRDefault="00B617AC" w:rsidP="00AF2EBE">
      <w:pPr>
        <w:spacing w:after="120"/>
        <w:rPr>
          <w:rFonts w:asciiTheme="majorHAnsi" w:hAnsiTheme="majorHAnsi" w:cstheme="majorHAnsi"/>
          <w:color w:val="0072C7"/>
          <w:sz w:val="26"/>
          <w:szCs w:val="26"/>
        </w:rPr>
      </w:pPr>
      <w:r w:rsidRPr="000034C0">
        <w:rPr>
          <w:rFonts w:asciiTheme="majorHAnsi" w:hAnsiTheme="majorHAnsi" w:cstheme="majorHAnsi"/>
          <w:color w:val="0072C7"/>
          <w:sz w:val="26"/>
          <w:szCs w:val="26"/>
        </w:rPr>
        <w:t>Figure 5-38</w:t>
      </w:r>
    </w:p>
    <w:p w:rsidR="00B617AC" w:rsidRPr="000034C0" w:rsidRDefault="00B617AC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sz w:val="26"/>
          <w:szCs w:val="26"/>
        </w:rPr>
      </w:pPr>
      <w:r w:rsidRPr="000034C0">
        <w:rPr>
          <w:rFonts w:asciiTheme="majorHAnsi" w:hAnsiTheme="majorHAnsi" w:cstheme="majorHAnsi"/>
          <w:sz w:val="26"/>
          <w:szCs w:val="26"/>
        </w:rPr>
        <w:t>An anti-corruption layer consists of three types of components</w:t>
      </w:r>
      <w:r w:rsidRPr="000034C0">
        <w:rPr>
          <w:rFonts w:asciiTheme="majorHAnsi" w:hAnsiTheme="majorHAnsi" w:cstheme="majorHAnsi"/>
          <w:i/>
          <w:iCs/>
          <w:sz w:val="26"/>
          <w:szCs w:val="26"/>
        </w:rPr>
        <w:t>: adapters, translators</w:t>
      </w:r>
      <w:r w:rsidRPr="000034C0">
        <w:rPr>
          <w:rFonts w:asciiTheme="majorHAnsi" w:hAnsiTheme="majorHAnsi" w:cstheme="majorHAnsi"/>
          <w:sz w:val="26"/>
          <w:szCs w:val="26"/>
        </w:rPr>
        <w:t xml:space="preserve">, and </w:t>
      </w:r>
      <w:r w:rsidRPr="000034C0">
        <w:rPr>
          <w:rFonts w:asciiTheme="majorHAnsi" w:hAnsiTheme="majorHAnsi" w:cstheme="majorHAnsi"/>
          <w:i/>
          <w:iCs/>
          <w:sz w:val="26"/>
          <w:szCs w:val="26"/>
        </w:rPr>
        <w:t>façades</w:t>
      </w:r>
      <w:r w:rsidRPr="000034C0">
        <w:rPr>
          <w:rFonts w:asciiTheme="majorHAnsi" w:hAnsiTheme="majorHAnsi" w:cstheme="majorHAnsi"/>
          <w:sz w:val="26"/>
          <w:szCs w:val="26"/>
        </w:rPr>
        <w:t>. First, a façade is designed to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simplify the communication with the other context and exposes the minimum functionality as possible. It is important to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understand that the façade should be defined in terms of the other context’s model elements; otherwise you would be mixing the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translation with the access to the other system. After designing a façade, an adapter is placed to modify the interface/events of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the other context and adapt it to the interface expected by our context. Finally, you use a translator to map the elements of our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context to the expected elements of the other context façade (or vice versa).</w:t>
      </w:r>
    </w:p>
    <w:p w:rsidR="00B617AC" w:rsidRPr="000034C0" w:rsidRDefault="00B617AC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sz w:val="26"/>
          <w:szCs w:val="26"/>
        </w:rPr>
      </w:pPr>
      <w:r w:rsidRPr="000034C0">
        <w:rPr>
          <w:rFonts w:asciiTheme="majorHAnsi" w:hAnsiTheme="majorHAnsi" w:cstheme="majorHAnsi"/>
          <w:sz w:val="26"/>
          <w:szCs w:val="26"/>
        </w:rPr>
        <w:t>The anti-corruption layer is also critical for managing the integration events. Bounded contexts are independent of each other and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may be modified or updated independently. Such modifications may result in changes to the events that a bounded context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publishes. These changes might include introducing a new event, dropping the use of an event, renaming an event, or changing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the definition of event by adding or removing information in the payload. A bounded context must be robust in the face of changes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that might be made to another bounded context. The anti-corruption layer is responsible for verifying that incoming integration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events make sense. You can also use the anti-corruption layer to translate incoming integration events.</w:t>
      </w:r>
    </w:p>
    <w:p w:rsidR="00B617AC" w:rsidRPr="000034C0" w:rsidRDefault="00B617AC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sz w:val="26"/>
          <w:szCs w:val="26"/>
        </w:rPr>
      </w:pPr>
      <w:r w:rsidRPr="000034C0">
        <w:rPr>
          <w:rFonts w:asciiTheme="majorHAnsi" w:hAnsiTheme="majorHAnsi" w:cstheme="majorHAnsi"/>
          <w:sz w:val="26"/>
          <w:szCs w:val="26"/>
        </w:rPr>
        <w:t>The implementation of an anti-corruption layer can be custom (plain .NET). This is the initial approach. For more complex contexts,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or when the legacy subsystem to be extended is a market-product (like SAP or any other ERP, etc.), the integration and translations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can be continuously evolving and become very complex. In this situation, you might consider using a specific integration platform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 xml:space="preserve">(like </w:t>
      </w:r>
      <w:r w:rsidRPr="000034C0">
        <w:rPr>
          <w:rFonts w:asciiTheme="majorHAnsi" w:hAnsiTheme="majorHAnsi" w:cstheme="majorHAnsi"/>
          <w:i/>
          <w:iCs/>
          <w:sz w:val="26"/>
          <w:szCs w:val="26"/>
        </w:rPr>
        <w:t>Biztalk Server</w:t>
      </w:r>
      <w:r w:rsidRPr="000034C0">
        <w:rPr>
          <w:rFonts w:asciiTheme="majorHAnsi" w:hAnsiTheme="majorHAnsi" w:cstheme="majorHAnsi"/>
          <w:sz w:val="26"/>
          <w:szCs w:val="26"/>
        </w:rPr>
        <w:t>)—which offers more than 25 adapters linking to market-packages and a robust messaging infrastructure—on</w:t>
      </w:r>
      <w:r w:rsidR="00B4284D" w:rsidRPr="000034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sz w:val="26"/>
          <w:szCs w:val="26"/>
        </w:rPr>
        <w:t>top of Windows Server or Windows Azure (IaaS), and can also link to Windows Azure Service Bus.</w:t>
      </w:r>
    </w:p>
    <w:p w:rsidR="00B617AC" w:rsidRPr="000034C0" w:rsidRDefault="00B617AC" w:rsidP="00AF2EBE">
      <w:pPr>
        <w:spacing w:after="120"/>
        <w:rPr>
          <w:rFonts w:asciiTheme="majorHAnsi" w:hAnsiTheme="majorHAnsi" w:cstheme="majorHAnsi"/>
          <w:sz w:val="26"/>
          <w:szCs w:val="26"/>
        </w:rPr>
      </w:pPr>
      <w:r w:rsidRPr="000034C0">
        <w:rPr>
          <w:rFonts w:asciiTheme="majorHAnsi" w:hAnsiTheme="majorHAnsi" w:cstheme="majorHAnsi"/>
          <w:sz w:val="26"/>
          <w:szCs w:val="26"/>
        </w:rPr>
        <w:br w:type="page"/>
      </w:r>
    </w:p>
    <w:p w:rsidR="00B617AC" w:rsidRPr="000034C0" w:rsidRDefault="00B617AC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7F7F7F"/>
          <w:sz w:val="26"/>
          <w:szCs w:val="26"/>
        </w:rPr>
      </w:pPr>
      <w:r w:rsidRPr="000034C0">
        <w:rPr>
          <w:rFonts w:asciiTheme="majorHAnsi" w:hAnsiTheme="majorHAnsi" w:cstheme="majorHAnsi"/>
          <w:color w:val="7F7F7F"/>
          <w:sz w:val="26"/>
          <w:szCs w:val="26"/>
        </w:rPr>
        <w:lastRenderedPageBreak/>
        <w:t>6. Conclusions</w:t>
      </w:r>
    </w:p>
    <w:p w:rsidR="00B617AC" w:rsidRPr="000034C0" w:rsidRDefault="00B617AC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There are too many combinations of approaches, technologies, architectures, and patterns to apply in business applications. This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guidance tries to position a number of approaches based on mainstream application priorities, but it should not be taken as rigid,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prescriptive guidance precisely because of the large number of contexts in business applications. There may be logical exceptions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to this guidance, like small and medium-sized business applications that are not very data-driven but should be more domaindriven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due to ever-changing domain rules. Or vice versa—collateral subsystems or bounded contexts that are clearly following a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data-driven approach though they might be a part of a large mission-critical application.</w:t>
      </w:r>
    </w:p>
    <w:p w:rsidR="00B617AC" w:rsidRPr="000034C0" w:rsidRDefault="00B617AC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>The main goal of this guide is to position Microsoft technologies in different approaches driven by application and</w:t>
      </w:r>
      <w:r w:rsidR="00B4284D" w:rsidRPr="000034C0">
        <w:rPr>
          <w:rFonts w:asciiTheme="majorHAnsi" w:hAnsiTheme="majorHAnsi" w:cstheme="majorHAnsi"/>
          <w:b/>
          <w:bCs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business priorities.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How you categorize your application completely depends on your application context and specific domain.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The main purpose of this segmentation is simply to provide a way to envision and organize different approaches and technology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positions.</w:t>
      </w:r>
    </w:p>
    <w:p w:rsidR="00B617AC" w:rsidRPr="000034C0" w:rsidRDefault="00B617AC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Custom application development is oftentimes more of an art than a science—that’s why there’s no prescriptive truth to follow.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The approaches, techniques, and technologies to use depend on the application context, the real domain to solve, and on the</w:t>
      </w:r>
      <w:r w:rsidR="00B4284D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developer team context and skill set.</w:t>
      </w:r>
    </w:p>
    <w:p w:rsidR="00B617AC" w:rsidRPr="000034C0" w:rsidRDefault="00B617AC" w:rsidP="00AF2EBE">
      <w:pPr>
        <w:spacing w:after="120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br w:type="page"/>
      </w:r>
    </w:p>
    <w:p w:rsidR="00B617AC" w:rsidRPr="000034C0" w:rsidRDefault="00337457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7F7F7F"/>
          <w:sz w:val="26"/>
          <w:szCs w:val="26"/>
        </w:rPr>
      </w:pPr>
      <w:r w:rsidRPr="000034C0">
        <w:rPr>
          <w:rFonts w:asciiTheme="majorHAnsi" w:hAnsiTheme="majorHAnsi" w:cstheme="majorHAnsi"/>
          <w:color w:val="7F7F7F"/>
          <w:sz w:val="26"/>
          <w:szCs w:val="26"/>
        </w:rPr>
        <w:lastRenderedPageBreak/>
        <w:t>Appendix A: Silverlight</w:t>
      </w:r>
      <w:r w:rsidRPr="000034C0">
        <w:rPr>
          <w:rFonts w:asciiTheme="majorHAnsi" w:hAnsiTheme="majorHAnsi" w:cstheme="majorHAnsi"/>
          <w:color w:val="7F7F7F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7F7F7F"/>
          <w:sz w:val="26"/>
          <w:szCs w:val="26"/>
        </w:rPr>
        <w:t>migration</w:t>
      </w:r>
      <w:r w:rsidRPr="000034C0">
        <w:rPr>
          <w:rFonts w:asciiTheme="majorHAnsi" w:hAnsiTheme="majorHAnsi" w:cstheme="majorHAnsi"/>
          <w:color w:val="7F7F7F"/>
          <w:sz w:val="26"/>
          <w:szCs w:val="26"/>
          <w:lang w:val="en-US"/>
        </w:rPr>
        <w:t xml:space="preserve"> </w:t>
      </w:r>
      <w:r w:rsidR="00B617AC" w:rsidRPr="000034C0">
        <w:rPr>
          <w:rFonts w:asciiTheme="majorHAnsi" w:hAnsiTheme="majorHAnsi" w:cstheme="majorHAnsi"/>
          <w:color w:val="7F7F7F"/>
          <w:sz w:val="26"/>
          <w:szCs w:val="26"/>
        </w:rPr>
        <w:t>paths</w:t>
      </w:r>
    </w:p>
    <w:p w:rsidR="00B617AC" w:rsidRPr="000034C0" w:rsidRDefault="00B617AC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As explained in this guide, RIA containers are being replaced gradually by other alternatives with broader device support (HTML5)</w:t>
      </w:r>
      <w:r w:rsidR="00D536B5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or better device integration (native development). However, your choice and timeframe may be different based on your current</w:t>
      </w:r>
      <w:r w:rsidR="00D536B5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investments and needs. Over time, this will involve more HTML5 and native applications and less RIA containers, but you are in</w:t>
      </w:r>
      <w:r w:rsidR="00D536B5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control of the final decision and timeframe.</w:t>
      </w:r>
    </w:p>
    <w:p w:rsidR="00B617AC" w:rsidRPr="000034C0" w:rsidRDefault="00B617AC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If you are currently using Silverlight, you can make this transition gradually at the timeframe of your choice. It is also possible that</w:t>
      </w:r>
      <w:r w:rsidR="00D536B5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some portions of the application need to be coded in HTML5 and/or Silverlight. Since Silverlight is a plug-in, it can be used within</w:t>
      </w:r>
      <w:r w:rsidR="00D536B5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HTML content. If your scenario is more suited for a native application, Silverlight also provides a good bridge for platforms</w:t>
      </w:r>
      <w:r w:rsidR="00D536B5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supporting .NET/XAML, such as WPF in the desktop, Windows Store Apps .NET model, or even (with the solutions explained</w:t>
      </w:r>
      <w:r w:rsidR="00D536B5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previously in this guide) non-Microsoft devices. Because the latest Silverlight version is supported for 10 years, you can make that</w:t>
      </w:r>
      <w:r w:rsidR="00D536B5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transition gradually while still using the mature and stable solution Silverlight provides.</w:t>
      </w:r>
    </w:p>
    <w:p w:rsidR="00B617AC" w:rsidRPr="000034C0" w:rsidRDefault="00B617AC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If you have a major application that has a monolithic architecture—i.e., the back end tightly integrated with the front end—you</w:t>
      </w:r>
      <w:r w:rsidR="00D536B5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should decouple these two parts of the system, so that multiple front ends (HTML4, HTML5, Silverlight, native mobile) can connect</w:t>
      </w:r>
      <w:r w:rsidR="00D536B5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to the same back end.</w:t>
      </w:r>
    </w:p>
    <w:p w:rsidR="00B617AC" w:rsidRPr="000034C0" w:rsidRDefault="00B617AC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Additionally, there are some applications whose requirements are still only covered by RIA containers solutions (for example, video</w:t>
      </w:r>
      <w:r w:rsidR="00D536B5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content protection), and therefore you should continue with the existing investment.</w:t>
      </w:r>
    </w:p>
    <w:p w:rsidR="00B617AC" w:rsidRPr="000034C0" w:rsidRDefault="00B617AC" w:rsidP="00AF2E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theme="majorHAnsi"/>
          <w:color w:val="000000"/>
          <w:sz w:val="26"/>
          <w:szCs w:val="26"/>
        </w:rPr>
      </w:pPr>
      <w:r w:rsidRPr="000034C0">
        <w:rPr>
          <w:rFonts w:asciiTheme="majorHAnsi" w:hAnsiTheme="majorHAnsi" w:cstheme="majorHAnsi"/>
          <w:color w:val="000000"/>
          <w:sz w:val="26"/>
          <w:szCs w:val="26"/>
        </w:rPr>
        <w:t>Because of the breadth of different scenarios, and the variety of application types, context, and priorities, the migration paths in</w:t>
      </w:r>
      <w:r w:rsidR="00D536B5" w:rsidRPr="000034C0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0034C0">
        <w:rPr>
          <w:rFonts w:asciiTheme="majorHAnsi" w:hAnsiTheme="majorHAnsi" w:cstheme="majorHAnsi"/>
          <w:color w:val="000000"/>
          <w:sz w:val="26"/>
          <w:szCs w:val="26"/>
        </w:rPr>
        <w:t>Table A-1 are recommended.</w:t>
      </w:r>
    </w:p>
    <w:sectPr w:rsidR="00B617AC" w:rsidRPr="0000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6BC"/>
    <w:rsid w:val="000034C0"/>
    <w:rsid w:val="00115CEC"/>
    <w:rsid w:val="00337457"/>
    <w:rsid w:val="00372646"/>
    <w:rsid w:val="004766BC"/>
    <w:rsid w:val="0050570A"/>
    <w:rsid w:val="00571492"/>
    <w:rsid w:val="007F20C1"/>
    <w:rsid w:val="009A30D4"/>
    <w:rsid w:val="009F5CC8"/>
    <w:rsid w:val="00AF2EBE"/>
    <w:rsid w:val="00B4284D"/>
    <w:rsid w:val="00B43AAA"/>
    <w:rsid w:val="00B617AC"/>
    <w:rsid w:val="00D536B5"/>
    <w:rsid w:val="00F4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A2EDEC-8077-442E-9F87-32E18F56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0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9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8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hyperlink" Target="http://www.udidahan.com/2009/12/09/clarified-cqrs/" TargetMode="External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19</Pages>
  <Words>4304</Words>
  <Characters>24537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 Văn</dc:creator>
  <cp:keywords/>
  <dc:description/>
  <cp:lastModifiedBy>Quang Nguyễn Văn</cp:lastModifiedBy>
  <cp:revision>10</cp:revision>
  <dcterms:created xsi:type="dcterms:W3CDTF">2017-04-03T14:36:00Z</dcterms:created>
  <dcterms:modified xsi:type="dcterms:W3CDTF">2017-04-04T16:14:00Z</dcterms:modified>
</cp:coreProperties>
</file>