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003366"/>
          <w:sz w:val="32"/>
        </w:rPr>
        <w:t>CHAROTAR UNIVERSITY OF SCIENCE &amp; TECHNOLOGY</w:t>
        <w:br/>
      </w:r>
      <w:r>
        <w:rPr>
          <w:b/>
          <w:sz w:val="28"/>
        </w:rPr>
        <w:t>Faculty of Technology &amp; Engineering</w:t>
        <w:br/>
      </w:r>
      <w:r>
        <w:rPr>
          <w:b/>
          <w:sz w:val="26"/>
        </w:rPr>
        <w:t>Devang Patel Institute of Advance Technology and Research (DEPSTAR)</w:t>
        <w:br/>
        <w:br/>
      </w:r>
      <w:r>
        <w:rPr>
          <w:b/>
          <w:sz w:val="28"/>
        </w:rPr>
        <w:t>CSUE301 – : Big Data Analytics</w:t>
        <w:br/>
      </w:r>
      <w:r>
        <w:rPr>
          <w:b/>
          <w:sz w:val="26"/>
        </w:rPr>
        <w:t>Practical File – ODD Semester 2026-27</w:t>
        <w:br/>
        <w:br/>
      </w:r>
      <w:r>
        <w:rPr>
          <w:b/>
          <w:color w:val="003366"/>
          <w:sz w:val="26"/>
        </w:rPr>
        <w:t>StudentID: 24DIT066</w:t>
        <w:br/>
      </w:r>
      <w:r>
        <w:rPr>
          <w:b/>
          <w:color w:val="003366"/>
          <w:sz w:val="26"/>
        </w:rPr>
        <w:t>Student Name: Sil Shah</w:t>
        <w:br/>
      </w:r>
    </w:p>
    <w:p>
      <w:r>
        <w:br w:type="page"/>
      </w:r>
    </w:p>
    <w:p>
      <w:pPr>
        <w:spacing w:before="160" w:after="240"/>
        <w:jc w:val="center"/>
      </w:pPr>
      <w:r>
        <w:rPr>
          <w:b/>
          <w:color w:val="003366"/>
          <w:sz w:val="36"/>
        </w:rPr>
        <w:t>Practical 11</w:t>
      </w:r>
    </w:p>
    <w:p>
      <w:pPr>
        <w:spacing w:before="80" w:after="80"/>
      </w:pPr>
      <w:r>
        <w:rPr>
          <w:b/>
          <w:sz w:val="24"/>
        </w:rPr>
        <w:t>1. Problem Definition</w:t>
        <w:br/>
      </w:r>
    </w:p>
    <w:p>
      <w:r>
        <w:t>You are a Big Data Engineer at SecureComm Inc., a telecom company that processes over 50 million SMS messages daily. The fraud prevention team wants an automated spam classifier that can scale to handle millions of new messages per hour. You will implement a Distributed Logistic Regression model using Mini-batch Gradient Descent on Apache Spark, train it on a massive SMS dataset, and deploy it for batch prediction.</w:t>
      </w:r>
    </w:p>
    <w:p>
      <w:pPr>
        <w:spacing w:before="240" w:after="120"/>
      </w:pPr>
      <w:r>
        <w:rPr>
          <w:b/>
          <w:sz w:val="24"/>
        </w:rPr>
        <w:t>PART A — Practical Execution</w:t>
        <w:br/>
      </w:r>
    </w:p>
    <w:p>
      <w:pPr>
        <w:spacing w:before="120" w:after="40"/>
      </w:pPr>
      <w:r>
        <w:rPr>
          <w:b/>
          <w:color w:val="003366"/>
        </w:rPr>
        <w:t>Step 1: Creating Folder and files</w:t>
      </w:r>
    </w:p>
    <w:p>
      <w:pPr>
        <w:spacing w:before="60" w:after="160"/>
        <w:jc w:val="center"/>
      </w:pPr>
      <w:r>
        <w:drawing>
          <wp:inline xmlns:a="http://schemas.openxmlformats.org/drawingml/2006/main" xmlns:pic="http://schemas.openxmlformats.org/drawingml/2006/picture">
            <wp:extent cx="2926080" cy="1788160"/>
            <wp:docPr id="1" name="Picture 1"/>
            <wp:cNvGraphicFramePr>
              <a:graphicFrameLocks noChangeAspect="1"/>
            </wp:cNvGraphicFramePr>
            <a:graphic>
              <a:graphicData uri="http://schemas.openxmlformats.org/drawingml/2006/picture">
                <pic:pic>
                  <pic:nvPicPr>
                    <pic:cNvPr id="0" name="step1_folder.png"/>
                    <pic:cNvPicPr/>
                  </pic:nvPicPr>
                  <pic:blipFill>
                    <a:blip r:embed="rId11"/>
                    <a:stretch>
                      <a:fillRect/>
                    </a:stretch>
                  </pic:blipFill>
                  <pic:spPr>
                    <a:xfrm>
                      <a:off x="0" y="0"/>
                      <a:ext cx="2926080" cy="1788160"/>
                    </a:xfrm>
                    <a:prstGeom prst="rect"/>
                  </pic:spPr>
                </pic:pic>
              </a:graphicData>
            </a:graphic>
          </wp:inline>
        </w:drawing>
      </w:r>
    </w:p>
    <w:p>
      <w:pPr>
        <w:spacing w:before="120" w:after="40"/>
      </w:pPr>
      <w:r>
        <w:rPr>
          <w:b/>
          <w:color w:val="003366"/>
        </w:rPr>
        <w:t>Step 2: Creating Spark Session</w:t>
      </w:r>
    </w:p>
    <w:p>
      <w:pPr>
        <w:spacing w:before="60" w:after="160"/>
        <w:jc w:val="center"/>
      </w:pPr>
      <w:r>
        <w:drawing>
          <wp:inline xmlns:a="http://schemas.openxmlformats.org/drawingml/2006/main" xmlns:pic="http://schemas.openxmlformats.org/drawingml/2006/picture">
            <wp:extent cx="5303520" cy="1436370"/>
            <wp:docPr id="2" name="Picture 2"/>
            <wp:cNvGraphicFramePr>
              <a:graphicFrameLocks noChangeAspect="1"/>
            </wp:cNvGraphicFramePr>
            <a:graphic>
              <a:graphicData uri="http://schemas.openxmlformats.org/drawingml/2006/picture">
                <pic:pic>
                  <pic:nvPicPr>
                    <pic:cNvPr id="0" name="step2_spark_session.png"/>
                    <pic:cNvPicPr/>
                  </pic:nvPicPr>
                  <pic:blipFill>
                    <a:blip r:embed="rId12"/>
                    <a:stretch>
                      <a:fillRect/>
                    </a:stretch>
                  </pic:blipFill>
                  <pic:spPr>
                    <a:xfrm>
                      <a:off x="0" y="0"/>
                      <a:ext cx="5303520" cy="1436370"/>
                    </a:xfrm>
                    <a:prstGeom prst="rect"/>
                  </pic:spPr>
                </pic:pic>
              </a:graphicData>
            </a:graphic>
          </wp:inline>
        </w:drawing>
      </w:r>
    </w:p>
    <w:p>
      <w:pPr>
        <w:spacing w:before="120" w:after="40"/>
      </w:pPr>
      <w:r>
        <w:rPr>
          <w:b/>
          <w:color w:val="003366"/>
        </w:rPr>
        <w:t>Step 3: Loading SMS Spam Dataset</w:t>
      </w:r>
    </w:p>
    <w:p>
      <w:pPr>
        <w:spacing w:before="60" w:after="160"/>
        <w:jc w:val="center"/>
      </w:pPr>
      <w:r>
        <w:drawing>
          <wp:inline xmlns:a="http://schemas.openxmlformats.org/drawingml/2006/main" xmlns:pic="http://schemas.openxmlformats.org/drawingml/2006/picture">
            <wp:extent cx="5303520" cy="1988820"/>
            <wp:docPr id="3" name="Picture 3"/>
            <wp:cNvGraphicFramePr>
              <a:graphicFrameLocks noChangeAspect="1"/>
            </wp:cNvGraphicFramePr>
            <a:graphic>
              <a:graphicData uri="http://schemas.openxmlformats.org/drawingml/2006/picture">
                <pic:pic>
                  <pic:nvPicPr>
                    <pic:cNvPr id="0" name="step3_load_dataset.png"/>
                    <pic:cNvPicPr/>
                  </pic:nvPicPr>
                  <pic:blipFill>
                    <a:blip r:embed="rId13"/>
                    <a:stretch>
                      <a:fillRect/>
                    </a:stretch>
                  </pic:blipFill>
                  <pic:spPr>
                    <a:xfrm>
                      <a:off x="0" y="0"/>
                      <a:ext cx="5303520" cy="1988820"/>
                    </a:xfrm>
                    <a:prstGeom prst="rect"/>
                  </pic:spPr>
                </pic:pic>
              </a:graphicData>
            </a:graphic>
          </wp:inline>
        </w:drawing>
      </w:r>
    </w:p>
    <w:p>
      <w:pPr>
        <w:spacing w:before="120" w:after="40"/>
      </w:pPr>
      <w:r>
        <w:rPr>
          <w:b/>
          <w:color w:val="003366"/>
        </w:rPr>
        <w:t>Step 4: Display Dataset Schema and Class Distribution</w:t>
      </w:r>
    </w:p>
    <w:p>
      <w:pPr>
        <w:spacing w:before="60" w:after="160"/>
        <w:jc w:val="center"/>
      </w:pPr>
      <w:r>
        <w:drawing>
          <wp:inline xmlns:a="http://schemas.openxmlformats.org/drawingml/2006/main" xmlns:pic="http://schemas.openxmlformats.org/drawingml/2006/picture">
            <wp:extent cx="5303520" cy="1767840"/>
            <wp:docPr id="4" name="Picture 4"/>
            <wp:cNvGraphicFramePr>
              <a:graphicFrameLocks noChangeAspect="1"/>
            </wp:cNvGraphicFramePr>
            <a:graphic>
              <a:graphicData uri="http://schemas.openxmlformats.org/drawingml/2006/picture">
                <pic:pic>
                  <pic:nvPicPr>
                    <pic:cNvPr id="0" name="step4_schema_distribution.png"/>
                    <pic:cNvPicPr/>
                  </pic:nvPicPr>
                  <pic:blipFill>
                    <a:blip r:embed="rId14"/>
                    <a:stretch>
                      <a:fillRect/>
                    </a:stretch>
                  </pic:blipFill>
                  <pic:spPr>
                    <a:xfrm>
                      <a:off x="0" y="0"/>
                      <a:ext cx="5303520" cy="1767840"/>
                    </a:xfrm>
                    <a:prstGeom prst="rect"/>
                  </pic:spPr>
                </pic:pic>
              </a:graphicData>
            </a:graphic>
          </wp:inline>
        </w:drawing>
      </w:r>
    </w:p>
    <w:p>
      <w:pPr>
        <w:spacing w:before="120" w:after="40"/>
      </w:pPr>
      <w:r>
        <w:rPr>
          <w:b/>
          <w:color w:val="003366"/>
        </w:rPr>
        <w:t>Step 5: Text Preprocessing and Tokenization</w:t>
      </w:r>
    </w:p>
    <w:p>
      <w:pPr>
        <w:spacing w:before="60" w:after="160"/>
        <w:jc w:val="center"/>
      </w:pPr>
      <w:r>
        <w:drawing>
          <wp:inline xmlns:a="http://schemas.openxmlformats.org/drawingml/2006/main" xmlns:pic="http://schemas.openxmlformats.org/drawingml/2006/picture">
            <wp:extent cx="5303520" cy="1436370"/>
            <wp:docPr id="5" name="Picture 5"/>
            <wp:cNvGraphicFramePr>
              <a:graphicFrameLocks noChangeAspect="1"/>
            </wp:cNvGraphicFramePr>
            <a:graphic>
              <a:graphicData uri="http://schemas.openxmlformats.org/drawingml/2006/picture">
                <pic:pic>
                  <pic:nvPicPr>
                    <pic:cNvPr id="0" name="step5_preprocessing_tokens.png"/>
                    <pic:cNvPicPr/>
                  </pic:nvPicPr>
                  <pic:blipFill>
                    <a:blip r:embed="rId15"/>
                    <a:stretch>
                      <a:fillRect/>
                    </a:stretch>
                  </pic:blipFill>
                  <pic:spPr>
                    <a:xfrm>
                      <a:off x="0" y="0"/>
                      <a:ext cx="5303520" cy="1436370"/>
                    </a:xfrm>
                    <a:prstGeom prst="rect"/>
                  </pic:spPr>
                </pic:pic>
              </a:graphicData>
            </a:graphic>
          </wp:inline>
        </w:drawing>
      </w:r>
    </w:p>
    <w:p>
      <w:pPr>
        <w:spacing w:before="120" w:after="40"/>
      </w:pPr>
      <w:r>
        <w:rPr>
          <w:b/>
          <w:color w:val="003366"/>
        </w:rPr>
        <w:t>Step 6: Feature Extraction using HashingTF and IDF</w:t>
      </w:r>
    </w:p>
    <w:p>
      <w:pPr>
        <w:spacing w:before="60" w:after="160"/>
        <w:jc w:val="center"/>
      </w:pPr>
      <w:r>
        <w:drawing>
          <wp:inline xmlns:a="http://schemas.openxmlformats.org/drawingml/2006/main" xmlns:pic="http://schemas.openxmlformats.org/drawingml/2006/picture">
            <wp:extent cx="5303520" cy="1325880"/>
            <wp:docPr id="6" name="Picture 6"/>
            <wp:cNvGraphicFramePr>
              <a:graphicFrameLocks noChangeAspect="1"/>
            </wp:cNvGraphicFramePr>
            <a:graphic>
              <a:graphicData uri="http://schemas.openxmlformats.org/drawingml/2006/picture">
                <pic:pic>
                  <pic:nvPicPr>
                    <pic:cNvPr id="0" name="step6_tfidf_vectors.png"/>
                    <pic:cNvPicPr/>
                  </pic:nvPicPr>
                  <pic:blipFill>
                    <a:blip r:embed="rId16"/>
                    <a:stretch>
                      <a:fillRect/>
                    </a:stretch>
                  </pic:blipFill>
                  <pic:spPr>
                    <a:xfrm>
                      <a:off x="0" y="0"/>
                      <a:ext cx="5303520" cy="1325880"/>
                    </a:xfrm>
                    <a:prstGeom prst="rect"/>
                  </pic:spPr>
                </pic:pic>
              </a:graphicData>
            </a:graphic>
          </wp:inline>
        </w:drawing>
      </w:r>
    </w:p>
    <w:p>
      <w:pPr>
        <w:spacing w:before="120" w:after="40"/>
      </w:pPr>
      <w:r>
        <w:rPr>
          <w:b/>
          <w:color w:val="003366"/>
        </w:rPr>
        <w:t>Step 7: Train Distributed Logistic Regression Model</w:t>
      </w:r>
    </w:p>
    <w:p>
      <w:pPr>
        <w:spacing w:before="60" w:after="160"/>
        <w:jc w:val="center"/>
      </w:pPr>
      <w:r>
        <w:drawing>
          <wp:inline xmlns:a="http://schemas.openxmlformats.org/drawingml/2006/main" xmlns:pic="http://schemas.openxmlformats.org/drawingml/2006/picture">
            <wp:extent cx="5303520" cy="1215390"/>
            <wp:docPr id="7" name="Picture 7"/>
            <wp:cNvGraphicFramePr>
              <a:graphicFrameLocks noChangeAspect="1"/>
            </wp:cNvGraphicFramePr>
            <a:graphic>
              <a:graphicData uri="http://schemas.openxmlformats.org/drawingml/2006/picture">
                <pic:pic>
                  <pic:nvPicPr>
                    <pic:cNvPr id="0" name="step7_model_training.png"/>
                    <pic:cNvPicPr/>
                  </pic:nvPicPr>
                  <pic:blipFill>
                    <a:blip r:embed="rId17"/>
                    <a:stretch>
                      <a:fillRect/>
                    </a:stretch>
                  </pic:blipFill>
                  <pic:spPr>
                    <a:xfrm>
                      <a:off x="0" y="0"/>
                      <a:ext cx="5303520" cy="1215390"/>
                    </a:xfrm>
                    <a:prstGeom prst="rect"/>
                  </pic:spPr>
                </pic:pic>
              </a:graphicData>
            </a:graphic>
          </wp:inline>
        </w:drawing>
      </w:r>
    </w:p>
    <w:p>
      <w:pPr>
        <w:spacing w:before="120" w:after="40"/>
      </w:pPr>
      <w:r>
        <w:rPr>
          <w:b/>
          <w:color w:val="003366"/>
        </w:rPr>
        <w:t>Step 8: Generate Batch Predictions on Test Data</w:t>
      </w:r>
    </w:p>
    <w:p>
      <w:pPr>
        <w:spacing w:before="60" w:after="160"/>
        <w:jc w:val="center"/>
      </w:pPr>
      <w:r>
        <w:drawing>
          <wp:inline xmlns:a="http://schemas.openxmlformats.org/drawingml/2006/main" xmlns:pic="http://schemas.openxmlformats.org/drawingml/2006/picture">
            <wp:extent cx="5303520" cy="1436370"/>
            <wp:docPr id="8" name="Picture 8"/>
            <wp:cNvGraphicFramePr>
              <a:graphicFrameLocks noChangeAspect="1"/>
            </wp:cNvGraphicFramePr>
            <a:graphic>
              <a:graphicData uri="http://schemas.openxmlformats.org/drawingml/2006/picture">
                <pic:pic>
                  <pic:nvPicPr>
                    <pic:cNvPr id="0" name="step8_predictions.png"/>
                    <pic:cNvPicPr/>
                  </pic:nvPicPr>
                  <pic:blipFill>
                    <a:blip r:embed="rId18"/>
                    <a:stretch>
                      <a:fillRect/>
                    </a:stretch>
                  </pic:blipFill>
                  <pic:spPr>
                    <a:xfrm>
                      <a:off x="0" y="0"/>
                      <a:ext cx="5303520" cy="1436370"/>
                    </a:xfrm>
                    <a:prstGeom prst="rect"/>
                  </pic:spPr>
                </pic:pic>
              </a:graphicData>
            </a:graphic>
          </wp:inline>
        </w:drawing>
      </w:r>
    </w:p>
    <w:p>
      <w:pPr>
        <w:spacing w:before="120" w:after="40"/>
      </w:pPr>
      <w:r>
        <w:rPr>
          <w:b/>
          <w:color w:val="003366"/>
        </w:rPr>
        <w:t>Step 9: Model Evaluation Metrics (Accuracy, Precision, Recall, F1, ROC-AUC)</w:t>
      </w:r>
    </w:p>
    <w:p>
      <w:pPr>
        <w:spacing w:before="60" w:after="160"/>
        <w:jc w:val="center"/>
      </w:pPr>
      <w:r>
        <w:drawing>
          <wp:inline xmlns:a="http://schemas.openxmlformats.org/drawingml/2006/main" xmlns:pic="http://schemas.openxmlformats.org/drawingml/2006/picture">
            <wp:extent cx="5303520" cy="1988820"/>
            <wp:docPr id="9" name="Picture 9"/>
            <wp:cNvGraphicFramePr>
              <a:graphicFrameLocks noChangeAspect="1"/>
            </wp:cNvGraphicFramePr>
            <a:graphic>
              <a:graphicData uri="http://schemas.openxmlformats.org/drawingml/2006/picture">
                <pic:pic>
                  <pic:nvPicPr>
                    <pic:cNvPr id="0" name="step9_evaluation_metrics.png"/>
                    <pic:cNvPicPr/>
                  </pic:nvPicPr>
                  <pic:blipFill>
                    <a:blip r:embed="rId19"/>
                    <a:stretch>
                      <a:fillRect/>
                    </a:stretch>
                  </pic:blipFill>
                  <pic:spPr>
                    <a:xfrm>
                      <a:off x="0" y="0"/>
                      <a:ext cx="5303520" cy="1988820"/>
                    </a:xfrm>
                    <a:prstGeom prst="rect"/>
                  </pic:spPr>
                </pic:pic>
              </a:graphicData>
            </a:graphic>
          </wp:inline>
        </w:drawing>
      </w:r>
    </w:p>
    <w:p>
      <w:pPr>
        <w:spacing w:before="120" w:after="40"/>
      </w:pPr>
      <w:r>
        <w:rPr>
          <w:b/>
          <w:color w:val="003366"/>
        </w:rPr>
        <w:t>Step 10: Hyperparameter Tuning Analysis (regParam, elasticNetParam, maxIter)</w:t>
      </w:r>
    </w:p>
    <w:p>
      <w:pPr>
        <w:spacing w:before="60" w:after="160"/>
        <w:jc w:val="center"/>
      </w:pPr>
      <w:r>
        <w:drawing>
          <wp:inline xmlns:a="http://schemas.openxmlformats.org/drawingml/2006/main" xmlns:pic="http://schemas.openxmlformats.org/drawingml/2006/picture">
            <wp:extent cx="5303520" cy="1546860"/>
            <wp:docPr id="10" name="Picture 10"/>
            <wp:cNvGraphicFramePr>
              <a:graphicFrameLocks noChangeAspect="1"/>
            </wp:cNvGraphicFramePr>
            <a:graphic>
              <a:graphicData uri="http://schemas.openxmlformats.org/drawingml/2006/picture">
                <pic:pic>
                  <pic:nvPicPr>
                    <pic:cNvPr id="0" name="step10_tuning_analysis.png"/>
                    <pic:cNvPicPr/>
                  </pic:nvPicPr>
                  <pic:blipFill>
                    <a:blip r:embed="rId20"/>
                    <a:stretch>
                      <a:fillRect/>
                    </a:stretch>
                  </pic:blipFill>
                  <pic:spPr>
                    <a:xfrm>
                      <a:off x="0" y="0"/>
                      <a:ext cx="5303520" cy="1546860"/>
                    </a:xfrm>
                    <a:prstGeom prst="rect"/>
                  </pic:spPr>
                </pic:pic>
              </a:graphicData>
            </a:graphic>
          </wp:inline>
        </w:drawing>
      </w:r>
    </w:p>
    <w:p>
      <w:pPr>
        <w:spacing w:before="120" w:after="40"/>
      </w:pPr>
      <w:r>
        <w:rPr>
          <w:b/>
          <w:color w:val="003366"/>
        </w:rPr>
        <w:t>Step 11: Dataset Scaling Analysis (Training Time vs Dataset Size)</w:t>
      </w:r>
    </w:p>
    <w:p>
      <w:pPr>
        <w:spacing w:before="60" w:after="160"/>
        <w:jc w:val="center"/>
      </w:pPr>
      <w:r>
        <w:drawing>
          <wp:inline xmlns:a="http://schemas.openxmlformats.org/drawingml/2006/main" xmlns:pic="http://schemas.openxmlformats.org/drawingml/2006/picture">
            <wp:extent cx="5303520" cy="1546860"/>
            <wp:docPr id="11" name="Picture 11"/>
            <wp:cNvGraphicFramePr>
              <a:graphicFrameLocks noChangeAspect="1"/>
            </wp:cNvGraphicFramePr>
            <a:graphic>
              <a:graphicData uri="http://schemas.openxmlformats.org/drawingml/2006/picture">
                <pic:pic>
                  <pic:nvPicPr>
                    <pic:cNvPr id="0" name="step11_dataset_scaling.png"/>
                    <pic:cNvPicPr/>
                  </pic:nvPicPr>
                  <pic:blipFill>
                    <a:blip r:embed="rId21"/>
                    <a:stretch>
                      <a:fillRect/>
                    </a:stretch>
                  </pic:blipFill>
                  <pic:spPr>
                    <a:xfrm>
                      <a:off x="0" y="0"/>
                      <a:ext cx="5303520" cy="1546860"/>
                    </a:xfrm>
                    <a:prstGeom prst="rect"/>
                  </pic:spPr>
                </pic:pic>
              </a:graphicData>
            </a:graphic>
          </wp:inline>
        </w:drawing>
      </w:r>
    </w:p>
    <w:p>
      <w:pPr>
        <w:spacing w:before="120" w:after="40"/>
      </w:pPr>
      <w:r>
        <w:rPr>
          <w:b/>
          <w:color w:val="003366"/>
        </w:rPr>
        <w:t>Step 12: Compare Full-Batch vs Mini-Batch Gradient Descent</w:t>
      </w:r>
    </w:p>
    <w:p>
      <w:pPr>
        <w:spacing w:before="60" w:after="160"/>
        <w:jc w:val="center"/>
      </w:pPr>
      <w:r>
        <w:drawing>
          <wp:inline xmlns:a="http://schemas.openxmlformats.org/drawingml/2006/main" xmlns:pic="http://schemas.openxmlformats.org/drawingml/2006/picture">
            <wp:extent cx="5303520" cy="994410"/>
            <wp:docPr id="12" name="Picture 12"/>
            <wp:cNvGraphicFramePr>
              <a:graphicFrameLocks noChangeAspect="1"/>
            </wp:cNvGraphicFramePr>
            <a:graphic>
              <a:graphicData uri="http://schemas.openxmlformats.org/drawingml/2006/picture">
                <pic:pic>
                  <pic:nvPicPr>
                    <pic:cNvPr id="0" name="step12_gd_comparison.png"/>
                    <pic:cNvPicPr/>
                  </pic:nvPicPr>
                  <pic:blipFill>
                    <a:blip r:embed="rId22"/>
                    <a:stretch>
                      <a:fillRect/>
                    </a:stretch>
                  </pic:blipFill>
                  <pic:spPr>
                    <a:xfrm>
                      <a:off x="0" y="0"/>
                      <a:ext cx="5303520" cy="994410"/>
                    </a:xfrm>
                    <a:prstGeom prst="rect"/>
                  </pic:spPr>
                </pic:pic>
              </a:graphicData>
            </a:graphic>
          </wp:inline>
        </w:drawing>
      </w:r>
    </w:p>
    <w:p>
      <w:pPr>
        <w:spacing w:before="120" w:after="40"/>
      </w:pPr>
      <w:r>
        <w:rPr>
          <w:b/>
          <w:color w:val="003366"/>
        </w:rPr>
        <w:t>Step 13: Supplementary Problem 1 — HashingTF vs CountVectorizer</w:t>
      </w:r>
    </w:p>
    <w:p>
      <w:pPr>
        <w:spacing w:before="60" w:after="160"/>
        <w:jc w:val="center"/>
      </w:pPr>
      <w:r>
        <w:drawing>
          <wp:inline xmlns:a="http://schemas.openxmlformats.org/drawingml/2006/main" xmlns:pic="http://schemas.openxmlformats.org/drawingml/2006/picture">
            <wp:extent cx="5303520" cy="1104900"/>
            <wp:docPr id="13" name="Picture 13"/>
            <wp:cNvGraphicFramePr>
              <a:graphicFrameLocks noChangeAspect="1"/>
            </wp:cNvGraphicFramePr>
            <a:graphic>
              <a:graphicData uri="http://schemas.openxmlformats.org/drawingml/2006/picture">
                <pic:pic>
                  <pic:nvPicPr>
                    <pic:cNvPr id="0" name="step13_supplementary_hashing.png"/>
                    <pic:cNvPicPr/>
                  </pic:nvPicPr>
                  <pic:blipFill>
                    <a:blip r:embed="rId23"/>
                    <a:stretch>
                      <a:fillRect/>
                    </a:stretch>
                  </pic:blipFill>
                  <pic:spPr>
                    <a:xfrm>
                      <a:off x="0" y="0"/>
                      <a:ext cx="5303520" cy="1104900"/>
                    </a:xfrm>
                    <a:prstGeom prst="rect"/>
                  </pic:spPr>
                </pic:pic>
              </a:graphicData>
            </a:graphic>
          </wp:inline>
        </w:drawing>
      </w:r>
    </w:p>
    <w:p>
      <w:pPr>
        <w:spacing w:before="120" w:after="40"/>
      </w:pPr>
      <w:r>
        <w:rPr>
          <w:b/>
          <w:color w:val="003366"/>
        </w:rPr>
        <w:t>Step 14: Supplementary Problem 3 — Unified Spark ML Pipeline API</w:t>
      </w:r>
    </w:p>
    <w:p>
      <w:pPr>
        <w:spacing w:before="60" w:after="160"/>
        <w:jc w:val="center"/>
      </w:pPr>
      <w:r>
        <w:drawing>
          <wp:inline xmlns:a="http://schemas.openxmlformats.org/drawingml/2006/main" xmlns:pic="http://schemas.openxmlformats.org/drawingml/2006/picture">
            <wp:extent cx="5303520" cy="994410"/>
            <wp:docPr id="14" name="Picture 14"/>
            <wp:cNvGraphicFramePr>
              <a:graphicFrameLocks noChangeAspect="1"/>
            </wp:cNvGraphicFramePr>
            <a:graphic>
              <a:graphicData uri="http://schemas.openxmlformats.org/drawingml/2006/picture">
                <pic:pic>
                  <pic:nvPicPr>
                    <pic:cNvPr id="0" name="step14_supplementary_pipeline.png"/>
                    <pic:cNvPicPr/>
                  </pic:nvPicPr>
                  <pic:blipFill>
                    <a:blip r:embed="rId24"/>
                    <a:stretch>
                      <a:fillRect/>
                    </a:stretch>
                  </pic:blipFill>
                  <pic:spPr>
                    <a:xfrm>
                      <a:off x="0" y="0"/>
                      <a:ext cx="5303520" cy="994410"/>
                    </a:xfrm>
                    <a:prstGeom prst="rect"/>
                  </pic:spPr>
                </pic:pic>
              </a:graphicData>
            </a:graphic>
          </wp:inline>
        </w:drawing>
      </w:r>
    </w:p>
    <w:p>
      <w:pPr>
        <w:spacing w:before="120" w:after="40"/>
      </w:pPr>
      <w:r>
        <w:rPr>
          <w:b/>
          <w:color w:val="003366"/>
        </w:rPr>
        <w:t>Step 15: Generate ROC Curve Visualization</w:t>
      </w:r>
    </w:p>
    <w:p>
      <w:pPr>
        <w:spacing w:before="60" w:after="160"/>
        <w:jc w:val="center"/>
      </w:pPr>
      <w:r>
        <w:drawing>
          <wp:inline xmlns:a="http://schemas.openxmlformats.org/drawingml/2006/main" xmlns:pic="http://schemas.openxmlformats.org/drawingml/2006/picture">
            <wp:extent cx="4572000" cy="3592286"/>
            <wp:docPr id="15" name="Picture 15"/>
            <wp:cNvGraphicFramePr>
              <a:graphicFrameLocks noChangeAspect="1"/>
            </wp:cNvGraphicFramePr>
            <a:graphic>
              <a:graphicData uri="http://schemas.openxmlformats.org/drawingml/2006/picture">
                <pic:pic>
                  <pic:nvPicPr>
                    <pic:cNvPr id="0" name="roc_curve.png"/>
                    <pic:cNvPicPr/>
                  </pic:nvPicPr>
                  <pic:blipFill>
                    <a:blip r:embed="rId25"/>
                    <a:stretch>
                      <a:fillRect/>
                    </a:stretch>
                  </pic:blipFill>
                  <pic:spPr>
                    <a:xfrm>
                      <a:off x="0" y="0"/>
                      <a:ext cx="4572000" cy="3592286"/>
                    </a:xfrm>
                    <a:prstGeom prst="rect"/>
                  </pic:spPr>
                </pic:pic>
              </a:graphicData>
            </a:graphic>
          </wp:inline>
        </w:drawing>
      </w:r>
    </w:p>
    <w:p>
      <w:pPr>
        <w:spacing w:before="120" w:after="40"/>
      </w:pPr>
      <w:r>
        <w:rPr>
          <w:b/>
          <w:color w:val="003366"/>
        </w:rPr>
        <w:t>Step 16: Generate Scalability &amp; Optimization Benchmark Visualizations</w:t>
      </w:r>
    </w:p>
    <w:p>
      <w:pPr>
        <w:spacing w:before="60" w:after="160"/>
        <w:jc w:val="center"/>
      </w:pPr>
      <w:r>
        <w:drawing>
          <wp:inline xmlns:a="http://schemas.openxmlformats.org/drawingml/2006/main" xmlns:pic="http://schemas.openxmlformats.org/drawingml/2006/picture">
            <wp:extent cx="4754880" cy="2971800"/>
            <wp:docPr id="16" name="Picture 16"/>
            <wp:cNvGraphicFramePr>
              <a:graphicFrameLocks noChangeAspect="1"/>
            </wp:cNvGraphicFramePr>
            <a:graphic>
              <a:graphicData uri="http://schemas.openxmlformats.org/drawingml/2006/picture">
                <pic:pic>
                  <pic:nvPicPr>
                    <pic:cNvPr id="0" name="training_time_vs_datasize.png"/>
                    <pic:cNvPicPr/>
                  </pic:nvPicPr>
                  <pic:blipFill>
                    <a:blip r:embed="rId26"/>
                    <a:stretch>
                      <a:fillRect/>
                    </a:stretch>
                  </pic:blipFill>
                  <pic:spPr>
                    <a:xfrm>
                      <a:off x="0" y="0"/>
                      <a:ext cx="4754880" cy="2971800"/>
                    </a:xfrm>
                    <a:prstGeom prst="rect"/>
                  </pic:spPr>
                </pic:pic>
              </a:graphicData>
            </a:graphic>
          </wp:inline>
        </w:drawing>
      </w:r>
    </w:p>
    <w:p>
      <w:pPr>
        <w:spacing w:before="60" w:after="160"/>
        <w:jc w:val="center"/>
      </w:pPr>
      <w:r>
        <w:drawing>
          <wp:inline xmlns:a="http://schemas.openxmlformats.org/drawingml/2006/main" xmlns:pic="http://schemas.openxmlformats.org/drawingml/2006/picture">
            <wp:extent cx="4937760" cy="2154659"/>
            <wp:docPr id="17" name="Picture 17"/>
            <wp:cNvGraphicFramePr>
              <a:graphicFrameLocks noChangeAspect="1"/>
            </wp:cNvGraphicFramePr>
            <a:graphic>
              <a:graphicData uri="http://schemas.openxmlformats.org/drawingml/2006/picture">
                <pic:pic>
                  <pic:nvPicPr>
                    <pic:cNvPr id="0" name="metrics_and_gd_comparison.png"/>
                    <pic:cNvPicPr/>
                  </pic:nvPicPr>
                  <pic:blipFill>
                    <a:blip r:embed="rId27"/>
                    <a:stretch>
                      <a:fillRect/>
                    </a:stretch>
                  </pic:blipFill>
                  <pic:spPr>
                    <a:xfrm>
                      <a:off x="0" y="0"/>
                      <a:ext cx="4937760" cy="2154659"/>
                    </a:xfrm>
                    <a:prstGeom prst="rect"/>
                  </pic:spPr>
                </pic:pic>
              </a:graphicData>
            </a:graphic>
          </wp:inline>
        </w:drawing>
      </w:r>
    </w:p>
    <w:p>
      <w:pPr>
        <w:spacing w:before="120" w:after="40"/>
      </w:pPr>
      <w:r>
        <w:rPr>
          <w:b/>
          <w:color w:val="003366"/>
        </w:rPr>
        <w:t>Step 17: Generate Final Spam Detection Summary Report</w:t>
      </w:r>
    </w:p>
    <w:p>
      <w:pPr>
        <w:spacing w:before="60" w:after="160"/>
        <w:jc w:val="center"/>
      </w:pPr>
      <w:r>
        <w:drawing>
          <wp:inline xmlns:a="http://schemas.openxmlformats.org/drawingml/2006/main" xmlns:pic="http://schemas.openxmlformats.org/drawingml/2006/picture">
            <wp:extent cx="5303520" cy="2651760"/>
            <wp:docPr id="18" name="Picture 18"/>
            <wp:cNvGraphicFramePr>
              <a:graphicFrameLocks noChangeAspect="1"/>
            </wp:cNvGraphicFramePr>
            <a:graphic>
              <a:graphicData uri="http://schemas.openxmlformats.org/drawingml/2006/picture">
                <pic:pic>
                  <pic:nvPicPr>
                    <pic:cNvPr id="0" name="step17_report_preview.png"/>
                    <pic:cNvPicPr/>
                  </pic:nvPicPr>
                  <pic:blipFill>
                    <a:blip r:embed="rId28"/>
                    <a:stretch>
                      <a:fillRect/>
                    </a:stretch>
                  </pic:blipFill>
                  <pic:spPr>
                    <a:xfrm>
                      <a:off x="0" y="0"/>
                      <a:ext cx="5303520" cy="2651760"/>
                    </a:xfrm>
                    <a:prstGeom prst="rect"/>
                  </pic:spPr>
                </pic:pic>
              </a:graphicData>
            </a:graphic>
          </wp:inline>
        </w:drawing>
      </w:r>
    </w:p>
    <w:p>
      <w:pPr>
        <w:spacing w:before="280" w:after="80"/>
      </w:pPr>
      <w:r>
        <w:rPr>
          <w:b/>
          <w:sz w:val="24"/>
        </w:rPr>
        <w:t>3. Key Questions / Analysis</w:t>
        <w:br/>
      </w:r>
    </w:p>
    <w:p>
      <w:r>
        <w:rPr>
          <w:b/>
        </w:rPr>
        <w:t>Q1. What is the difference between full-batch, mini-batch, and stochastic gradient descent? Why is mini-batch preferred in distributed settings?</w:t>
        <w:br/>
      </w:r>
    </w:p>
    <w:p>
      <w:r>
        <w:t>Full-batch gradient descent calculates the gradient over the entire dataset before updating weights. Stochastic gradient descent (SGD) updates weights after every single record. Mini-batch gradient descent computes gradients on a small batch of records (e.g. 128 to 1024).</w:t>
        <w:br/>
        <w:t>Mini-batch is preferred in distributed settings because it significantly reduces network communication overhead between workers while enabling efficient SIMD vectorization and providing smooth, stable gradient convergence.</w:t>
      </w:r>
    </w:p>
    <w:p>
      <w:r>
        <w:rPr>
          <w:b/>
        </w:rPr>
        <w:t>Q2. How does the TF-IDF vectorizer handle the 'curse of dimensionality' for text classification?</w:t>
        <w:br/>
      </w:r>
    </w:p>
    <w:p>
      <w:r>
        <w:t>TF-IDF addresses the curse of dimensionality by dampening common non-informative words using Inverse Document Frequency (IDF). In Spark, HashingTF uses feature hashing (MurmurHash3) to map words into a fixed number of buckets (e.g. 4,096), which puts a strict upper limit on the feature space and eliminates the need to maintain an enormous vocabulary dictionary in memory.</w:t>
      </w:r>
    </w:p>
    <w:p>
      <w:r>
        <w:rPr>
          <w:b/>
        </w:rPr>
        <w:t>Q3. What is L1 vs L2 regularization? How does the elasticNetParam blend them in Spark MLlib?</w:t>
        <w:br/>
      </w:r>
    </w:p>
    <w:p>
      <w:r>
        <w:t>L1 regularization (Lasso) adds the sum of absolute values of weights to the loss function, forcing irrelevant feature weights to become exactly zero (feature sparsity). L2 regularization (Ridge) adds the sum of squared weights, shrinking weights smoothly towards zero without making them strictly zero.</w:t>
        <w:br/>
        <w:t>In Spark MLlib, elasticNetParam (alpha) mixes them: alpha = 0.0 gives pure L2 regularization, alpha = 1.0 gives pure L1 regularization, and values in between combine both penalties.</w:t>
      </w:r>
    </w:p>
    <w:p>
      <w:r>
        <w:rPr>
          <w:b/>
        </w:rPr>
        <w:t>Q4. In a distributed environment, how do gradient updates from multiple workers get aggregated? What is the risk of stale gradients?</w:t>
        <w:br/>
      </w:r>
    </w:p>
    <w:p>
      <w:r>
        <w:t>Worker nodes compute local gradients on their assigned partitions. Spark aggregates these gradients using treeAggregate(), which combines them hierarchically in a tree structure to avoid bottlenecking the driver node.</w:t>
        <w:br/>
        <w:t>Stale gradients happen in asynchronous setups when slow workers submit gradients based on old model parameters. This can cause slow convergence or oscillation. Spark uses synchronous iterations to prevent stale gradients.</w:t>
      </w:r>
    </w:p>
    <w:p>
      <w:r>
        <w:rPr>
          <w:b/>
        </w:rPr>
        <w:t>Q5. If Recall is more important than Precision for spam detection, how would you adjust the classification threshold? Show with examples.</w:t>
        <w:br/>
      </w:r>
    </w:p>
    <w:p>
      <w:r>
        <w:t>To increase Recall (capturing as many spam messages as possible), the decision threshold must be lowered from the default 0.50 down to 0.25 or 0.30.</w:t>
        <w:br/>
        <w:t>For example, if a suspicious email has a predicted spam probability of 0.35, under the default 0.50 threshold it would be marked as legitimate (ham), causing a False Negative. Under a 0.25 threshold, it is correctly flagged as spam, directly improving Recall.</w:t>
      </w:r>
    </w:p>
    <w:p>
      <w:pPr>
        <w:spacing w:before="280" w:after="80"/>
      </w:pPr>
      <w:r>
        <w:rPr>
          <w:b/>
          <w:sz w:val="24"/>
        </w:rPr>
        <w:t>4. Conclusion</w:t>
        <w:br/>
      </w:r>
    </w:p>
    <w:p>
      <w:r>
        <w:t>The practical successfully demonstrated Large-Scale Logistic Regression for SMS Spam Detection using Distributed Stochastic Gradient Descent (DSGD) on Apache Spark MLlib.</w:t>
        <w:br/>
        <w:t>A dataset of 6,000 SMS messages was ingested into a Spark DataFrame. Text preprocessing was implemented using Tokenizer, StopWordsRemover, HashingTF, and IDF. A distributed Logistic Regression model was trained, achieving 100.00% accuracy, 100.00% F1-score, and an ROC-AUC of 1.0000 on the test set.</w:t>
        <w:br/>
        <w:t>Hyperparameter tuning verified the behavior of L1, L2, and ElasticNet regularization. Scalability benchmarks showed linear throughput scaling up to 121,175 records (6,261 msgs/sec), and Mini-batch SGD demonstrated a 31.1% training speedup over full-batch gradient descent. An end-to-end Spark ML Pipeline was constructed for batch deployment.</w:t>
      </w:r>
    </w:p>
    <w:p>
      <w:pPr>
        <w:spacing w:before="280" w:after="80"/>
      </w:pPr>
      <w:r>
        <w:rPr>
          <w:b/>
          <w:sz w:val="24"/>
        </w:rPr>
        <w:t>5. Github Link</w:t>
        <w:br/>
      </w:r>
    </w:p>
    <w:p>
      <w:r>
        <w:t xml:space="preserve">Github Link: _ </w:t>
      </w:r>
      <w:r>
        <w:rPr>
          <w:color w:val="0066CC"/>
          <w:u w:val="single"/>
        </w:rPr>
        <w:t>24DIT066-tech/Practical-11 at main · sil-sys/24DIT066-tech</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3C3C3C"/>
        <w:sz w:val="19"/>
      </w:rPr>
      <w:t xml:space="preserve">CSUE301 : Big Data Analytics                                                                                     </w:t>
    </w:r>
    <w:r>
      <w:rPr>
        <w:rFonts w:ascii="Calibri" w:hAnsi="Calibri"/>
        <w:b/>
        <w:color w:val="000000"/>
        <w:sz w:val="19"/>
      </w:rPr>
      <w:t>24DIT066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