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117" w:val="clear"/>
            <w:tcMar>
              <w:top w:type="dxa" w:w="560"/>
              <w:left w:type="dxa" w:w="520"/>
              <w:bottom w:type="dxa" w:w="560"/>
              <w:right w:type="dxa" w:w="520"/>
            </w:tcMar>
          </w:tcPr>
          <w:p>
            <w:pPr>
              <w:spacing w:after="70" w:before="0"/>
            </w:pPr>
            <w:r>
              <w:rPr>
                <w:rFonts w:ascii="Arial" w:cs="Arial" w:eastAsia="Arial" w:hAnsi="Arial"/>
                <w:b/>
                <w:bCs/>
                <w:color w:val="FFFFFF"/>
                <w:sz w:val="50"/>
                <w:szCs w:val="50"/>
              </w:rPr>
              <w:t xml:space="preserve">RAMP</w:t>
            </w:r>
          </w:p>
          <w:p>
            <w:pPr>
              <w:spacing w:after="70" w:before="0"/>
            </w:pPr>
            <w:r>
              <w:rPr>
                <w:rFonts w:ascii="Arial" w:cs="Arial" w:eastAsia="Arial" w:hAnsi="Arial"/>
                <w:color w:val="8BA7E8"/>
                <w:sz w:val="27"/>
                <w:szCs w:val="27"/>
              </w:rPr>
              <w:t xml:space="preserve">Terms and Conditions of Service</w:t>
            </w:r>
          </w:p>
          <w:p>
            <w:pPr>
              <w:spacing w:after="0" w:before="0"/>
            </w:pPr>
            <w:r>
              <w:rPr>
                <w:rFonts w:ascii="Arial" w:cs="Arial" w:eastAsia="Arial" w:hAnsi="Arial"/>
                <w:color w:val="5A7AB5"/>
                <w:sz w:val="19"/>
                <w:szCs w:val="19"/>
              </w:rPr>
              <w:t xml:space="preserve">Effective June 2026</w:t>
            </w:r>
          </w:p>
        </w:tc>
      </w:tr>
    </w:tbl>
    <w:p>
      <w:pPr>
        <w:spacing w:after="280" w:before="0"/>
      </w:pPr>
      <w:r>
        <w:t xml:space="preserve"/>
      </w:r>
    </w:p>
    <w:p>
      <w:pPr>
        <w:spacing w:after="110" w:before="0"/>
      </w:pPr>
      <w:r>
        <w:rPr>
          <w:rFonts w:ascii="Arial" w:cs="Arial" w:eastAsia="Arial" w:hAnsi="Arial"/>
          <w:color w:val="4A5568"/>
          <w:sz w:val="21"/>
          <w:szCs w:val="21"/>
        </w:rPr>
        <w:t xml:space="preserve">These Terms and Conditions ("Agreement") govern access to and use of the RAMP platform and services ("Service") provided by [RAMP Operating Entity Name], a company incorporated in Cyprus ("Provider," "RAMP," "we," "us"). By creating an account, subscribing to the Service, or otherwise using the Service, the person or entity agreeing to these terms ("Client," "you") accepts this Agreement in full.</w:t>
      </w:r>
    </w:p>
    <w:p>
      <w:pPr>
        <w:spacing w:after="110" w:before="0"/>
      </w:pPr>
      <w:r>
        <w:rPr>
          <w:rFonts w:ascii="Arial" w:cs="Arial" w:eastAsia="Arial" w:hAnsi="Arial"/>
          <w:color w:val="4A5568"/>
          <w:sz w:val="21"/>
          <w:szCs w:val="21"/>
        </w:rPr>
        <w:t xml:space="preserve">This Agreement applies to all Service tiers, including standard client accounts and Agency accounts operating under white-label arrangements, except where a section expressly states it applies only to one.</w:t>
      </w:r>
    </w:p>
    <w:p>
      <w:pPr>
        <w:spacing w:after="200" w:before="0"/>
      </w:pPr>
      <w:r>
        <w:t xml:space="preserve"/>
      </w:r>
    </w:p>
    <w:p>
      <w:r>
        <w:br w:type="page"/>
      </w:r>
    </w:p>
    <w:p>
      <w:pPr>
        <w:pStyle w:val="Heading1"/>
        <w:pBdr>
          <w:bottom w:val="single" w:color="2563C4" w:sz="6" w:space="6"/>
        </w:pBdr>
        <w:spacing w:after="140" w:before="400"/>
      </w:pPr>
      <w:r>
        <w:rPr>
          <w:rFonts w:ascii="Arial" w:cs="Arial" w:eastAsia="Arial" w:hAnsi="Arial"/>
          <w:b/>
          <w:bCs/>
          <w:color w:val="1A1D27"/>
          <w:sz w:val="28"/>
          <w:szCs w:val="28"/>
        </w:rPr>
        <w:t xml:space="preserve">1. Service Description</w:t>
      </w:r>
    </w:p>
    <w:p>
      <w:pPr>
        <w:spacing w:after="110" w:before="0"/>
      </w:pPr>
      <w:r>
        <w:rPr>
          <w:rFonts w:ascii="Arial" w:cs="Arial" w:eastAsia="Arial" w:hAnsi="Arial"/>
          <w:color w:val="4A5568"/>
          <w:sz w:val="21"/>
          <w:szCs w:val="21"/>
        </w:rPr>
        <w:t xml:space="preserve">RAMP is an AI-assisted community engagement and content strategy platform. The Service operates across two modes of execution, both powered by the same underlying intelligence layer:</w:t>
      </w:r>
    </w:p>
    <w:p>
      <w:pPr>
        <w:pStyle w:val="Heading2"/>
        <w:spacing w:after="90" w:before="240"/>
      </w:pPr>
      <w:r>
        <w:rPr>
          <w:rFonts w:ascii="Arial" w:cs="Arial" w:eastAsia="Arial" w:hAnsi="Arial"/>
          <w:b/>
          <w:bCs/>
          <w:color w:val="2563C4"/>
          <w:sz w:val="23"/>
          <w:szCs w:val="23"/>
        </w:rPr>
        <w:t xml:space="preserve">1.1 Client Primary Account (Assisted Execution)</w:t>
      </w:r>
    </w:p>
    <w:p>
      <w:pPr>
        <w:spacing w:after="110" w:before="0"/>
      </w:pPr>
      <w:r>
        <w:rPr>
          <w:rFonts w:ascii="Arial" w:cs="Arial" w:eastAsia="Arial" w:hAnsi="Arial"/>
          <w:color w:val="4A5568"/>
          <w:sz w:val="21"/>
          <w:szCs w:val="21"/>
        </w:rPr>
        <w:t xml:space="preserve">Client may connect a Reddit account owned and controlled by Client ("Client Primary Account") via OAuth authentication. Provider's Service monitors relevant discussions, generates content recommendations, and manages an approval workflow. Client reviews, approves, edits, or rejects each recommendation and publishes content from Client's own authenticated session. Provider does not post content to Client's Primary Account. Client is at all times the sole operator and publisher of content on the Client Primary Account.</w:t>
      </w:r>
    </w:p>
    <w:p>
      <w:pPr>
        <w:pStyle w:val="Heading2"/>
        <w:spacing w:after="90" w:before="240"/>
      </w:pPr>
      <w:r>
        <w:rPr>
          <w:rFonts w:ascii="Arial" w:cs="Arial" w:eastAsia="Arial" w:hAnsi="Arial"/>
          <w:b/>
          <w:bCs/>
          <w:color w:val="2563C4"/>
          <w:sz w:val="23"/>
          <w:szCs w:val="23"/>
        </w:rPr>
        <w:t xml:space="preserve">1.2 Platform Voices (Managed Community Presence)</w:t>
      </w:r>
    </w:p>
    <w:p>
      <w:pPr>
        <w:spacing w:after="110" w:before="0"/>
      </w:pPr>
      <w:r>
        <w:rPr>
          <w:rFonts w:ascii="Arial" w:cs="Arial" w:eastAsia="Arial" w:hAnsi="Arial"/>
          <w:color w:val="4A5568"/>
          <w:sz w:val="21"/>
          <w:szCs w:val="21"/>
        </w:rPr>
        <w:t xml:space="preserve">Provider separately maintains and operates a network of community accounts ("Platform Voices") that may be allocated to Client's account under Client's strategic direction. Platform Voices are configured according to parameters Client provides at onboarding and are never operated without Client's prior review and approval of the content published through them. Client does not receive login credentials for Platform Voices, which remain Provider's service infrastructure at all times.</w:t>
      </w:r>
    </w:p>
    <w:p>
      <w:pPr>
        <w:pStyle w:val="Heading2"/>
        <w:spacing w:after="90" w:before="240"/>
      </w:pPr>
      <w:r>
        <w:rPr>
          <w:rFonts w:ascii="Arial" w:cs="Arial" w:eastAsia="Arial" w:hAnsi="Arial"/>
          <w:b/>
          <w:bCs/>
          <w:color w:val="2563C4"/>
          <w:sz w:val="23"/>
          <w:szCs w:val="23"/>
        </w:rPr>
        <w:t xml:space="preserve">1.3 No Guarantee of Outcome</w:t>
      </w:r>
    </w:p>
    <w:p>
      <w:pPr>
        <w:pBdr>
          <w:left w:val="single" w:color="2563C4" w:sz="12" w:space="8"/>
        </w:pBdr>
        <w:spacing w:after="110" w:before="0"/>
        <w:ind w:left="400" w:right="200"/>
      </w:pPr>
      <w:r>
        <w:rPr>
          <w:rFonts w:ascii="Arial" w:cs="Arial" w:eastAsia="Arial" w:hAnsi="Arial"/>
          <w:color w:val="1A1D27"/>
          <w:sz w:val="20"/>
          <w:szCs w:val="20"/>
        </w:rPr>
        <w:t xml:space="preserve">Provider provides intelligence, workflow, and execution tooling. Provider does not guarantee any specific outcome, including without limitation engagement levels, visibility, karma accumulation, brand mention frequency, lead generation, or any commercial result. Client acknowledges that outcomes depend on factors outside Provider's control, including third-party platform algorithms, community response, and market conditions.</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2. Client Primary Account — Client Responsibilities</w:t>
      </w:r>
    </w:p>
    <w:p>
      <w:pPr>
        <w:spacing w:after="110" w:before="0"/>
      </w:pPr>
      <w:r>
        <w:rPr>
          <w:rFonts w:ascii="Arial" w:cs="Arial" w:eastAsia="Arial" w:hAnsi="Arial"/>
          <w:color w:val="4A5568"/>
          <w:sz w:val="21"/>
          <w:szCs w:val="21"/>
        </w:rPr>
        <w:t xml:space="preserve">Where Client connects a Client Primary Account, Client represents and warrants the following as a condition of the Service:</w:t>
      </w:r>
    </w:p>
    <w:p>
      <w:pPr>
        <w:pStyle w:val="ListParagraph"/>
        <w:numPr>
          <w:ilvl w:val="0"/>
          <w:numId w:val="2"/>
        </w:numPr>
        <w:spacing w:after="30" w:before="30"/>
      </w:pPr>
      <w:r>
        <w:rPr>
          <w:rFonts w:ascii="Arial" w:cs="Arial" w:eastAsia="Arial" w:hAnsi="Arial"/>
          <w:color w:val="4A5568"/>
          <w:sz w:val="21"/>
          <w:szCs w:val="21"/>
        </w:rPr>
        <w:t xml:space="preserve">The Client Primary Account was created organically by Client or Client's authorized personnel, and was not purchased, rented, transferred, or otherwise acquired from a third party</w:t>
      </w:r>
    </w:p>
    <w:p>
      <w:pPr>
        <w:pStyle w:val="ListParagraph"/>
        <w:numPr>
          <w:ilvl w:val="0"/>
          <w:numId w:val="2"/>
        </w:numPr>
        <w:spacing w:after="30" w:before="30"/>
      </w:pPr>
      <w:r>
        <w:rPr>
          <w:rFonts w:ascii="Arial" w:cs="Arial" w:eastAsia="Arial" w:hAnsi="Arial"/>
          <w:color w:val="4A5568"/>
          <w:sz w:val="21"/>
          <w:szCs w:val="21"/>
        </w:rPr>
        <w:t xml:space="preserve">Client is the rightful owner and sole authorized user of the Client Primary Account</w:t>
      </w:r>
    </w:p>
    <w:p>
      <w:pPr>
        <w:pStyle w:val="ListParagraph"/>
        <w:numPr>
          <w:ilvl w:val="0"/>
          <w:numId w:val="2"/>
        </w:numPr>
        <w:spacing w:after="30" w:before="30"/>
      </w:pPr>
      <w:r>
        <w:rPr>
          <w:rFonts w:ascii="Arial" w:cs="Arial" w:eastAsia="Arial" w:hAnsi="Arial"/>
          <w:color w:val="4A5568"/>
          <w:sz w:val="21"/>
          <w:szCs w:val="21"/>
        </w:rPr>
        <w:t xml:space="preserve">Client is solely responsible for all activity conducted through the Client Primary Account, including any content Client chooses to publish based on Provider's recommendations</w:t>
      </w:r>
    </w:p>
    <w:p>
      <w:pPr>
        <w:pStyle w:val="ListParagraph"/>
        <w:numPr>
          <w:ilvl w:val="0"/>
          <w:numId w:val="2"/>
        </w:numPr>
        <w:spacing w:after="30" w:before="30"/>
      </w:pPr>
      <w:r>
        <w:rPr>
          <w:rFonts w:ascii="Arial" w:cs="Arial" w:eastAsia="Arial" w:hAnsi="Arial"/>
          <w:color w:val="4A5568"/>
          <w:sz w:val="21"/>
          <w:szCs w:val="21"/>
        </w:rPr>
        <w:t xml:space="preserve">Client's decision to publish any content is Client's own independent decision — Provider's role is limited to providing recommendations and workflow tooling</w:t>
      </w:r>
    </w:p>
    <w:p>
      <w:pPr>
        <w:pStyle w:val="ListParagraph"/>
        <w:numPr>
          <w:ilvl w:val="0"/>
          <w:numId w:val="2"/>
        </w:numPr>
        <w:spacing w:after="30" w:before="30"/>
      </w:pPr>
      <w:r>
        <w:rPr>
          <w:rFonts w:ascii="Arial" w:cs="Arial" w:eastAsia="Arial" w:hAnsi="Arial"/>
          <w:color w:val="4A5568"/>
          <w:sz w:val="21"/>
          <w:szCs w:val="21"/>
        </w:rPr>
        <w:t xml:space="preserve">Client is entering this Agreement in its capacity as a registered business or in connection with a trade, business, or profession, and not as an individual consumer</w:t>
      </w:r>
    </w:p>
    <w:p>
      <w:pPr>
        <w:spacing w:after="120" w:before="0"/>
      </w:pPr>
      <w:r>
        <w:t xml:space="preserve"/>
      </w:r>
    </w:p>
    <w:p>
      <w:pPr>
        <w:pBdr>
          <w:left w:val="single" w:color="2563C4" w:sz="12" w:space="8"/>
        </w:pBdr>
        <w:spacing w:after="110" w:before="0"/>
        <w:ind w:left="400" w:right="200"/>
      </w:pPr>
      <w:r>
        <w:rPr>
          <w:rFonts w:ascii="Arial" w:cs="Arial" w:eastAsia="Arial" w:hAnsi="Arial"/>
          <w:color w:val="1A1D27"/>
          <w:sz w:val="20"/>
          <w:szCs w:val="20"/>
        </w:rPr>
        <w:t xml:space="preserve">Client acknowledges and agrees that Provider bears no liability for any consequence, platform enforcement action, or third-party claim arising from content Client independently elects to publish through the Client Primary Account, regardless of whether such content originated as a Provider recommendation.</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3. Platform Voices — Nature and Limitations</w:t>
      </w:r>
    </w:p>
    <w:p>
      <w:pPr>
        <w:pBdr>
          <w:left w:val="single" w:color="2563C4" w:sz="12" w:space="8"/>
        </w:pBdr>
        <w:spacing w:after="110" w:before="0"/>
        <w:ind w:left="400" w:right="200"/>
      </w:pPr>
      <w:r>
        <w:rPr>
          <w:rFonts w:ascii="Arial" w:cs="Arial" w:eastAsia="Arial" w:hAnsi="Arial"/>
          <w:color w:val="1A1D27"/>
          <w:sz w:val="20"/>
          <w:szCs w:val="20"/>
        </w:rPr>
        <w:t xml:space="preserve">Platform Voices, and any associated accounts, credentials, karma, engagement history, or content, are provided as part of the Service and do not constitute property transferred to or owned by Client. Client acknowledges that Platform Voices are subject to modification, reallocation, suspension, or loss at any time due to Platform Enforcement Events (as defined in Section 4), changes in third-party platform policies, or other circumstances beyond Provider's control. Provider does not guarantee the longevity, karma level, engagement history, or continued operational status of any Platform Voice.</w:t>
      </w:r>
    </w:p>
    <w:p>
      <w:pPr>
        <w:spacing w:after="110" w:before="0"/>
      </w:pPr>
      <w:r>
        <w:rPr>
          <w:rFonts w:ascii="Arial" w:cs="Arial" w:eastAsia="Arial" w:hAnsi="Arial"/>
          <w:color w:val="4A5568"/>
          <w:sz w:val="21"/>
          <w:szCs w:val="21"/>
        </w:rPr>
        <w:t xml:space="preserve">Any onboarding, priority setup, or accelerated credibility fee associated with Platform Voice allocation compensates Provider for work performed in preparing and configuring that capability. Such fees are earned upon performance of the work and are non-refundable regardless of the subsequent operational status of any Platform Voice.</w:t>
      </w:r>
    </w:p>
    <w:p>
      <w:pPr>
        <w:spacing w:after="200" w:before="0"/>
      </w:pPr>
      <w:r>
        <w:t xml:space="preserve"/>
      </w:r>
    </w:p>
    <w:p>
      <w:r>
        <w:br w:type="page"/>
      </w:r>
    </w:p>
    <w:p>
      <w:pPr>
        <w:pStyle w:val="Heading1"/>
        <w:pBdr>
          <w:bottom w:val="single" w:color="2563C4" w:sz="6" w:space="6"/>
        </w:pBdr>
        <w:spacing w:after="140" w:before="400"/>
      </w:pPr>
      <w:r>
        <w:rPr>
          <w:rFonts w:ascii="Arial" w:cs="Arial" w:eastAsia="Arial" w:hAnsi="Arial"/>
          <w:b/>
          <w:bCs/>
          <w:color w:val="1A1D27"/>
          <w:sz w:val="28"/>
          <w:szCs w:val="28"/>
        </w:rPr>
        <w:t xml:space="preserve">4. Platform Enforcement Events</w:t>
      </w:r>
    </w:p>
    <w:p>
      <w:pPr>
        <w:pBdr>
          <w:left w:val="single" w:color="2563C4" w:sz="12" w:space="8"/>
        </w:pBdr>
        <w:spacing w:after="110" w:before="0"/>
        <w:ind w:left="400" w:right="200"/>
      </w:pPr>
      <w:r>
        <w:rPr>
          <w:rFonts w:ascii="Arial" w:cs="Arial" w:eastAsia="Arial" w:hAnsi="Arial"/>
          <w:color w:val="1A1D27"/>
          <w:sz w:val="20"/>
          <w:szCs w:val="20"/>
        </w:rPr>
        <w:t xml:space="preserve">The Service involves activity conducted on third-party platforms, including without limitation Reddit ("Platforms"), which are governed by their own terms of service, community standards, and enforcement policies, each of which is beyond Provider's control and subject to change without notice. Provider makes no representation that the Service, or any output of the Service, is sanctioned, endorsed, or expressly permitted by any Platform.</w:t>
      </w:r>
    </w:p>
    <w:p>
      <w:pPr>
        <w:pBdr>
          <w:left w:val="single" w:color="2563C4" w:sz="12" w:space="8"/>
        </w:pBdr>
        <w:spacing w:after="110" w:before="0"/>
        <w:ind w:left="400" w:right="200"/>
      </w:pPr>
      <w:r>
        <w:rPr>
          <w:rFonts w:ascii="Arial" w:cs="Arial" w:eastAsia="Arial" w:hAnsi="Arial"/>
          <w:color w:val="1A1D27"/>
          <w:sz w:val="20"/>
          <w:szCs w:val="20"/>
        </w:rPr>
        <w:t xml:space="preserve">Any action taken by a Platform that restricts, limits, removes, or terminates any aspect of the Service's operation — including without limitation account restriction, content removal, reduced visibility, IP-level restriction, human verification requirements, or any other Platform-initiated enforcement measure ("Platform Enforcement Event") — shall not constitute a breach of this Agreement by Provider, shall not trigger any refund or service credit obligation except as expressly set out in Section 5, and shall not give rise to any claim by Client against Provider. This disclaimer applies regardless of whether the Platform Enforcement Event resulted from the content published, the manner or timing of Provider's operational execution of the Service, or any other aspect of Service delivery. Client expressly accepts Platform Enforcement Events as an inherent and disclosed operational risk of community engagement services conducted on third-party platforms.</w:t>
      </w:r>
    </w:p>
    <w:p>
      <w:pPr>
        <w:spacing w:after="110" w:before="0"/>
      </w:pPr>
      <w:r>
        <w:rPr>
          <w:rFonts w:ascii="Arial" w:cs="Arial" w:eastAsia="Arial" w:hAnsi="Arial"/>
          <w:color w:val="4A5568"/>
          <w:sz w:val="21"/>
          <w:szCs w:val="21"/>
        </w:rPr>
        <w:t xml:space="preserve">Provider will use commercially reasonable efforts to respond to and, where feasible, remediate Platform Enforcement Events as set out in Section 5. Such efforts do not constitute a guarantee of continuity and do not waive Provider's rights under this Agreement.</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5. Remedies for Platform Enforcement Events</w:t>
      </w:r>
    </w:p>
    <w:p>
      <w:pPr>
        <w:pStyle w:val="Heading2"/>
        <w:spacing w:after="90" w:before="240"/>
      </w:pPr>
      <w:r>
        <w:rPr>
          <w:rFonts w:ascii="Arial" w:cs="Arial" w:eastAsia="Arial" w:hAnsi="Arial"/>
          <w:b/>
          <w:bCs/>
          <w:color w:val="2563C4"/>
          <w:sz w:val="23"/>
          <w:szCs w:val="23"/>
        </w:rPr>
        <w:t xml:space="preserve">5.1 Client Primary Account Enforcement</w:t>
      </w:r>
    </w:p>
    <w:p>
      <w:pPr>
        <w:spacing w:after="110" w:before="0"/>
      </w:pPr>
      <w:r>
        <w:rPr>
          <w:rFonts w:ascii="Arial" w:cs="Arial" w:eastAsia="Arial" w:hAnsi="Arial"/>
          <w:color w:val="4A5568"/>
          <w:sz w:val="21"/>
          <w:szCs w:val="21"/>
        </w:rPr>
        <w:t xml:space="preserve">Where a Platform Enforcement Event affects a Client Primary Account, Provider will, at no charge, provide one (1) Account Recovery Consultation per affected account — consisting of an analysis of the likely cause, a review of relevant activity, and drafted appeal language for Client's own submission to the Platform. Where Provider determines, in its reasonable judgment, that content generated by Provider and independently published by Client, or the manner and timing of Provider's operational execution of the Service, was the identifiable proximate cause of the enforcement action, Provider will additionally issue a service credit equal to one (1) month's fees. No other remedy applies to Client Primary Account enforcement events.</w:t>
      </w:r>
    </w:p>
    <w:p>
      <w:pPr>
        <w:pStyle w:val="Heading2"/>
        <w:spacing w:after="90" w:before="240"/>
      </w:pPr>
      <w:r>
        <w:rPr>
          <w:rFonts w:ascii="Arial" w:cs="Arial" w:eastAsia="Arial" w:hAnsi="Arial"/>
          <w:b/>
          <w:bCs/>
          <w:color w:val="2563C4"/>
          <w:sz w:val="23"/>
          <w:szCs w:val="23"/>
        </w:rPr>
        <w:t xml:space="preserve">5.2 Platform Voice Enforcement</w:t>
      </w:r>
    </w:p>
    <w:p>
      <w:pPr>
        <w:spacing w:after="110" w:before="0"/>
      </w:pPr>
      <w:r>
        <w:rPr>
          <w:rFonts w:ascii="Arial" w:cs="Arial" w:eastAsia="Arial" w:hAnsi="Arial"/>
          <w:color w:val="4A5568"/>
          <w:sz w:val="21"/>
          <w:szCs w:val="21"/>
        </w:rPr>
        <w:t xml:space="preserve">Where a Platform Enforcement Event affects a Platform Voice, Provider will use commercially reasonable efforts to provide a replacement Platform Voice of substantially equivalent standing within thirty (30) days at no additional charge. No refund applies to Platform Voice enforcement events; restoration of service is Client's sole and exclusive remedy.</w:t>
      </w:r>
    </w:p>
    <w:p>
      <w:pPr>
        <w:pStyle w:val="Heading2"/>
        <w:spacing w:after="90" w:before="240"/>
      </w:pPr>
      <w:r>
        <w:rPr>
          <w:rFonts w:ascii="Arial" w:cs="Arial" w:eastAsia="Arial" w:hAnsi="Arial"/>
          <w:b/>
          <w:bCs/>
          <w:color w:val="2563C4"/>
          <w:sz w:val="23"/>
          <w:szCs w:val="23"/>
        </w:rPr>
        <w:t xml:space="preserve">5.3 Mass Enforcement Events</w:t>
      </w:r>
    </w:p>
    <w:p>
      <w:pPr>
        <w:spacing w:after="110" w:before="0"/>
      </w:pPr>
      <w:r>
        <w:rPr>
          <w:rFonts w:ascii="Arial" w:cs="Arial" w:eastAsia="Arial" w:hAnsi="Arial"/>
          <w:color w:val="4A5568"/>
          <w:sz w:val="21"/>
          <w:szCs w:val="21"/>
        </w:rPr>
        <w:t xml:space="preserve">Where a single Platform enforcement action affects multiple Platform Voices or Client Primary Accounts simultaneously across Provider's client base ("Mass Enforcement Event"), such event constitutes force majeure under Section 11. Provider's sole obligation is to issue a service credit proportional to the capacity lost, capped at one (1) month's fees paid by Client in the period immediately preceding the event. No further remedy, refund, or damages apply.</w:t>
      </w:r>
    </w:p>
    <w:p>
      <w:pPr>
        <w:spacing w:after="200" w:before="0"/>
      </w:pPr>
      <w:r>
        <w:t xml:space="preserve"/>
      </w:r>
    </w:p>
    <w:p>
      <w:r>
        <w:br w:type="page"/>
      </w:r>
    </w:p>
    <w:p>
      <w:pPr>
        <w:pStyle w:val="Heading1"/>
        <w:pBdr>
          <w:bottom w:val="single" w:color="2563C4" w:sz="6" w:space="6"/>
        </w:pBdr>
        <w:spacing w:after="140" w:before="400"/>
      </w:pPr>
      <w:r>
        <w:rPr>
          <w:rFonts w:ascii="Arial" w:cs="Arial" w:eastAsia="Arial" w:hAnsi="Arial"/>
          <w:b/>
          <w:bCs/>
          <w:color w:val="1A1D27"/>
          <w:sz w:val="28"/>
          <w:szCs w:val="28"/>
        </w:rPr>
        <w:t xml:space="preserve">6. Content Approval and Authorization</w:t>
      </w:r>
    </w:p>
    <w:p>
      <w:pPr>
        <w:spacing w:after="110" w:before="0"/>
      </w:pPr>
      <w:r>
        <w:rPr>
          <w:rFonts w:ascii="Arial" w:cs="Arial" w:eastAsia="Arial" w:hAnsi="Arial"/>
          <w:color w:val="4A5568"/>
          <w:sz w:val="21"/>
          <w:szCs w:val="21"/>
        </w:rPr>
        <w:t xml:space="preserve">A core component of the Service is a structured content approval workflow through which Provider presents proposed content to Client for review prior to publication ("Content Workflow"). Where content is published through a Platform Voice, Client's approval through the Content Workflow constitutes:</w:t>
      </w:r>
    </w:p>
    <w:p>
      <w:pPr>
        <w:pStyle w:val="ListParagraph"/>
        <w:numPr>
          <w:ilvl w:val="0"/>
          <w:numId w:val="2"/>
        </w:numPr>
        <w:spacing w:after="30" w:before="30"/>
      </w:pPr>
      <w:r>
        <w:rPr>
          <w:rFonts w:ascii="Arial" w:cs="Arial" w:eastAsia="Arial" w:hAnsi="Arial"/>
          <w:color w:val="4A5568"/>
          <w:sz w:val="21"/>
          <w:szCs w:val="21"/>
        </w:rPr>
        <w:t xml:space="preserve">Client's authorization for Provider to publish such content on Client's behalf</w:t>
      </w:r>
    </w:p>
    <w:p>
      <w:pPr>
        <w:pStyle w:val="ListParagraph"/>
        <w:numPr>
          <w:ilvl w:val="0"/>
          <w:numId w:val="2"/>
        </w:numPr>
        <w:spacing w:after="30" w:before="30"/>
      </w:pPr>
      <w:r>
        <w:rPr>
          <w:rFonts w:ascii="Arial" w:cs="Arial" w:eastAsia="Arial" w:hAnsi="Arial"/>
          <w:color w:val="4A5568"/>
          <w:sz w:val="21"/>
          <w:szCs w:val="21"/>
        </w:rPr>
        <w:t xml:space="preserve">Client's representation that the content, to Client's knowledge, is accurate, does not infringe any third-party right, and does not constitute defamation, trade libel, or false advertising</w:t>
      </w:r>
    </w:p>
    <w:p>
      <w:pPr>
        <w:pStyle w:val="ListParagraph"/>
        <w:numPr>
          <w:ilvl w:val="0"/>
          <w:numId w:val="2"/>
        </w:numPr>
        <w:spacing w:after="30" w:before="30"/>
      </w:pPr>
      <w:r>
        <w:rPr>
          <w:rFonts w:ascii="Arial" w:cs="Arial" w:eastAsia="Arial" w:hAnsi="Arial"/>
          <w:color w:val="4A5568"/>
          <w:sz w:val="21"/>
          <w:szCs w:val="21"/>
        </w:rPr>
        <w:t xml:space="preserve">Client's acceptance of editorial and strategic responsibility for the approved content</w:t>
      </w:r>
    </w:p>
    <w:p>
      <w:pPr>
        <w:pStyle w:val="ListParagraph"/>
        <w:numPr>
          <w:ilvl w:val="0"/>
          <w:numId w:val="2"/>
        </w:numPr>
        <w:spacing w:after="30" w:before="30"/>
      </w:pPr>
      <w:r>
        <w:rPr>
          <w:rFonts w:ascii="Arial" w:cs="Arial" w:eastAsia="Arial" w:hAnsi="Arial"/>
          <w:color w:val="4A5568"/>
          <w:sz w:val="21"/>
          <w:szCs w:val="21"/>
        </w:rPr>
        <w:t xml:space="preserve">A transfer of liability for any third-party claim arising from publication of the approved content from Provider to Client</w:t>
      </w:r>
    </w:p>
    <w:p>
      <w:pPr>
        <w:spacing w:after="160" w:before="0"/>
      </w:pPr>
      <w:r>
        <w:t xml:space="preserve"/>
      </w:r>
    </w:p>
    <w:p>
      <w:pPr>
        <w:pBdr>
          <w:left w:val="single" w:color="2563C4" w:sz="12" w:space="8"/>
        </w:pBdr>
        <w:spacing w:after="110" w:before="0"/>
        <w:ind w:left="400" w:right="200"/>
      </w:pPr>
      <w:r>
        <w:rPr>
          <w:rFonts w:ascii="Arial" w:cs="Arial" w:eastAsia="Arial" w:hAnsi="Arial"/>
          <w:color w:val="1A1D27"/>
          <w:sz w:val="20"/>
          <w:szCs w:val="20"/>
        </w:rPr>
        <w:t xml:space="preserve">Provider reserves the right, exercisable at its sole discretion and without obligation to explain, to decline to publish any content it determines presents legal, regulatory, operational, or reputational risk. Provider's exercise of this discretion does not itself constitute a failure to deliver the Service, provided Provider continues to make good-faith efforts to generate and present alternative content options to Client.</w:t>
      </w:r>
    </w:p>
    <w:p>
      <w:pPr>
        <w:spacing w:after="110" w:before="0"/>
      </w:pPr>
      <w:r>
        <w:rPr>
          <w:rFonts w:ascii="Arial" w:cs="Arial" w:eastAsia="Arial" w:hAnsi="Arial"/>
          <w:color w:val="4A5568"/>
          <w:sz w:val="21"/>
          <w:szCs w:val="21"/>
        </w:rPr>
        <w:t xml:space="preserve">Where content is delivered to Client as a recommendation for Client's own publication through a Client Primary Account, Client's decision to publish is Client's own independent act, governed by Section 2.</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7. Regulatory and Legal Compliance</w:t>
      </w:r>
    </w:p>
    <w:p>
      <w:pPr>
        <w:spacing w:after="110" w:before="0"/>
      </w:pPr>
      <w:r>
        <w:rPr>
          <w:rFonts w:ascii="Arial" w:cs="Arial" w:eastAsia="Arial" w:hAnsi="Arial"/>
          <w:color w:val="4A5568"/>
          <w:sz w:val="21"/>
          <w:szCs w:val="21"/>
        </w:rPr>
        <w:t xml:space="preserve">Provider operates a community engagement and content strategy platform. As with other forms of brand-associated content marketing, influencer marketing, and sponsored community participation, Client's use of the Service may be subject to applicable advertising, endorsement, disclosure, and consumer protection laws in Client's jurisdiction and industry.</w:t>
      </w:r>
    </w:p>
    <w:p>
      <w:pPr>
        <w:pBdr>
          <w:left w:val="single" w:color="2563C4" w:sz="12" w:space="8"/>
        </w:pBdr>
        <w:spacing w:after="110" w:before="0"/>
        <w:ind w:left="400" w:right="200"/>
      </w:pPr>
      <w:r>
        <w:rPr>
          <w:rFonts w:ascii="Arial" w:cs="Arial" w:eastAsia="Arial" w:hAnsi="Arial"/>
          <w:color w:val="1A1D27"/>
          <w:sz w:val="20"/>
          <w:szCs w:val="20"/>
        </w:rPr>
        <w:t xml:space="preserve">Client is solely responsible for ensuring that its use of the Service, and the content it approves or publishes through the Service, complies with all applicable laws and regulations, including without limitation advertising and endorsement disclosure requirements, consumer protection statutes, and any sector-specific regulations applicable to Client's business. Client represents and warrants that: (a) it has independently evaluated, or had the opportunity to independently evaluate through its own legal counsel, whether its intended use of the Service is consistent with such laws; (b) it has obtained, or had the opportunity to obtain, independent legal advice with respect to that evaluation; and (c) its use of the Service, including the content it approves or publishes and the commercial objectives it pursues through the Service, will not cause Provider to become a participant in any violation of applicable law.</w:t>
      </w:r>
    </w:p>
    <w:p>
      <w:pPr>
        <w:pBdr>
          <w:left w:val="single" w:color="2563C4" w:sz="12" w:space="8"/>
        </w:pBdr>
        <w:spacing w:after="110" w:before="0"/>
        <w:ind w:left="400" w:right="200"/>
      </w:pPr>
      <w:r>
        <w:rPr>
          <w:rFonts w:ascii="Arial" w:cs="Arial" w:eastAsia="Arial" w:hAnsi="Arial"/>
          <w:color w:val="1A1D27"/>
          <w:sz w:val="20"/>
          <w:szCs w:val="20"/>
        </w:rPr>
        <w:t xml:space="preserve">Client shall indemnify, defend, and hold harmless Provider and its officers, directors, employees, and affiliates from and against any and all claims, investigations, penalties, fines, and legal costs arising out of or related to Client's use of the Service, content Client approves or publishes, or any determination by any authority that Client's use of the Service violates applicable law.</w:t>
      </w:r>
    </w:p>
    <w:p>
      <w:pPr>
        <w:spacing w:after="200" w:before="0"/>
      </w:pPr>
      <w:r>
        <w:t xml:space="preserve"/>
      </w:r>
    </w:p>
    <w:p>
      <w:r>
        <w:br w:type="page"/>
      </w:r>
    </w:p>
    <w:p>
      <w:pPr>
        <w:pStyle w:val="Heading1"/>
        <w:pBdr>
          <w:bottom w:val="single" w:color="2563C4" w:sz="6" w:space="6"/>
        </w:pBdr>
        <w:spacing w:after="140" w:before="400"/>
      </w:pPr>
      <w:r>
        <w:rPr>
          <w:rFonts w:ascii="Arial" w:cs="Arial" w:eastAsia="Arial" w:hAnsi="Arial"/>
          <w:b/>
          <w:bCs/>
          <w:color w:val="1A1D27"/>
          <w:sz w:val="28"/>
          <w:szCs w:val="28"/>
        </w:rPr>
        <w:t xml:space="preserve">8. Agency Accounts and White-Label Terms</w:t>
      </w:r>
    </w:p>
    <w:p>
      <w:pPr>
        <w:spacing w:after="110" w:before="0"/>
      </w:pPr>
      <w:r>
        <w:rPr>
          <w:rFonts w:ascii="Arial" w:cs="Arial" w:eastAsia="Arial" w:hAnsi="Arial"/>
          <w:color w:val="4A5568"/>
          <w:sz w:val="21"/>
          <w:szCs w:val="21"/>
        </w:rPr>
        <w:t xml:space="preserve">This Section applies exclusively to accounts operating under an Agency tier.</w:t>
      </w:r>
    </w:p>
    <w:p>
      <w:pPr>
        <w:pStyle w:val="Heading2"/>
        <w:spacing w:after="90" w:before="240"/>
      </w:pPr>
      <w:r>
        <w:rPr>
          <w:rFonts w:ascii="Arial" w:cs="Arial" w:eastAsia="Arial" w:hAnsi="Arial"/>
          <w:b/>
          <w:bCs/>
          <w:color w:val="2563C4"/>
          <w:sz w:val="23"/>
          <w:szCs w:val="23"/>
        </w:rPr>
        <w:t xml:space="preserve">8.1 Client Slot Structure</w:t>
      </w:r>
    </w:p>
    <w:p>
      <w:pPr>
        <w:spacing w:after="110" w:before="0"/>
      </w:pPr>
      <w:r>
        <w:rPr>
          <w:rFonts w:ascii="Arial" w:cs="Arial" w:eastAsia="Arial" w:hAnsi="Arial"/>
          <w:color w:val="4A5568"/>
          <w:sz w:val="21"/>
          <w:szCs w:val="21"/>
        </w:rPr>
        <w:t xml:space="preserve">Agency accounts may create and manage individual client workspaces ("Client Slots") up to the number permitted under the Agency's subscribed tier. Each Client Slot is subject to the terms of this Agreement as though it were an independent Client account, except that billing, account administration, and platform access are consolidated at the Agency level.</w:t>
      </w:r>
    </w:p>
    <w:p>
      <w:pPr>
        <w:pStyle w:val="Heading2"/>
        <w:spacing w:after="90" w:before="240"/>
      </w:pPr>
      <w:r>
        <w:rPr>
          <w:rFonts w:ascii="Arial" w:cs="Arial" w:eastAsia="Arial" w:hAnsi="Arial"/>
          <w:b/>
          <w:bCs/>
          <w:color w:val="2563C4"/>
          <w:sz w:val="23"/>
          <w:szCs w:val="23"/>
        </w:rPr>
        <w:t xml:space="preserve">8.2 Agency Responsibility for Sub-Clients</w:t>
      </w:r>
    </w:p>
    <w:p>
      <w:pPr>
        <w:pBdr>
          <w:left w:val="single" w:color="2563C4" w:sz="12" w:space="8"/>
        </w:pBdr>
        <w:spacing w:after="110" w:before="0"/>
        <w:ind w:left="400" w:right="200"/>
      </w:pPr>
      <w:r>
        <w:rPr>
          <w:rFonts w:ascii="Arial" w:cs="Arial" w:eastAsia="Arial" w:hAnsi="Arial"/>
          <w:color w:val="1A1D27"/>
          <w:sz w:val="20"/>
          <w:szCs w:val="20"/>
        </w:rPr>
        <w:t xml:space="preserve">Agency is solely responsible for its own relationship, contractual terms, and representations made to any end-client for whom Agency operates a Client Slot ("Sub-Client"). Provider has no direct contractual relationship with, and owes no obligation to, any Sub-Client. Agency shall indemnify Provider against any claim brought by a Sub-Client arising from Agency's representations, service delivery, or contractual arrangements with that Sub-Client.</w:t>
      </w:r>
    </w:p>
    <w:p>
      <w:pPr>
        <w:pStyle w:val="Heading2"/>
        <w:spacing w:after="90" w:before="240"/>
      </w:pPr>
      <w:r>
        <w:rPr>
          <w:rFonts w:ascii="Arial" w:cs="Arial" w:eastAsia="Arial" w:hAnsi="Arial"/>
          <w:b/>
          <w:bCs/>
          <w:color w:val="2563C4"/>
          <w:sz w:val="23"/>
          <w:szCs w:val="23"/>
        </w:rPr>
        <w:t xml:space="preserve">8.3 White-Label Use</w:t>
      </w:r>
    </w:p>
    <w:p>
      <w:pPr>
        <w:spacing w:after="110" w:before="0"/>
      </w:pPr>
      <w:r>
        <w:rPr>
          <w:rFonts w:ascii="Arial" w:cs="Arial" w:eastAsia="Arial" w:hAnsi="Arial"/>
          <w:color w:val="4A5568"/>
          <w:sz w:val="21"/>
          <w:szCs w:val="21"/>
        </w:rPr>
        <w:t xml:space="preserve">Where Agency's tier includes white-label functionality, Agency may present the Service under its own branding to Sub-Clients. Agency shall not represent to any Sub-Client, regulator, or third party that RAMP is the entity providing the underlying service unless required to do so by applicable law. Provider's name, marks, and underlying technology remain Provider's exclusive property regardless of white-label presentation.</w:t>
      </w:r>
    </w:p>
    <w:p>
      <w:pPr>
        <w:pStyle w:val="Heading2"/>
        <w:spacing w:after="90" w:before="240"/>
      </w:pPr>
      <w:r>
        <w:rPr>
          <w:rFonts w:ascii="Arial" w:cs="Arial" w:eastAsia="Arial" w:hAnsi="Arial"/>
          <w:b/>
          <w:bCs/>
          <w:color w:val="2563C4"/>
          <w:sz w:val="23"/>
          <w:szCs w:val="23"/>
        </w:rPr>
        <w:t xml:space="preserve">8.4 Agency Billing and Slot Overages</w:t>
      </w:r>
    </w:p>
    <w:p>
      <w:pPr>
        <w:spacing w:after="110" w:before="0"/>
      </w:pPr>
      <w:r>
        <w:rPr>
          <w:rFonts w:ascii="Arial" w:cs="Arial" w:eastAsia="Arial" w:hAnsi="Arial"/>
          <w:color w:val="4A5568"/>
          <w:sz w:val="21"/>
          <w:szCs w:val="21"/>
        </w:rPr>
        <w:t xml:space="preserve">Agency is billed at the agreed tier rate for its Client Slot allocation. Additional Client Slots or Platform Voices beyond tier limits are billed at then-current published rates. Agency is responsible for full payment of its subscription regardless of Sub-Client churn, non-payment by a Sub-Client, or Sub-Client dissatisfaction.</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9. Fees, Billing, and Cancellation</w:t>
      </w:r>
    </w:p>
    <w:p>
      <w:pPr>
        <w:spacing w:after="110" w:before="0"/>
      </w:pPr>
      <w:r>
        <w:rPr>
          <w:rFonts w:ascii="Arial" w:cs="Arial" w:eastAsia="Arial" w:hAnsi="Arial"/>
          <w:color w:val="4A5568"/>
          <w:sz w:val="21"/>
          <w:szCs w:val="21"/>
        </w:rPr>
        <w:t xml:space="preserve">The Service is billed monthly in advance. Client may cancel at any time; cancellation takes effect at the end of the current billing period, and no partial-month refund is issued for the remainder of an active period. Fees already paid are non-refundable except where this Agreement expressly provides for a service credit or refund.</w:t>
      </w:r>
    </w:p>
    <w:p>
      <w:pPr>
        <w:spacing w:after="110" w:before="0"/>
      </w:pPr>
      <w:r>
        <w:rPr>
          <w:rFonts w:ascii="Arial" w:cs="Arial" w:eastAsia="Arial" w:hAnsi="Arial"/>
          <w:color w:val="4A5568"/>
          <w:sz w:val="21"/>
          <w:szCs w:val="21"/>
        </w:rPr>
        <w:t xml:space="preserve">Provider may modify pricing prospectively upon no less than thirty (30) days' notice. Continued use of the Service after a pricing change takes effect constitutes acceptance of the new pricing.</w:t>
      </w:r>
    </w:p>
    <w:p>
      <w:pPr>
        <w:spacing w:after="110" w:before="0"/>
      </w:pPr>
      <w:r>
        <w:rPr>
          <w:rFonts w:ascii="Arial" w:cs="Arial" w:eastAsia="Arial" w:hAnsi="Arial"/>
          <w:color w:val="4A5568"/>
          <w:sz w:val="21"/>
          <w:szCs w:val="21"/>
        </w:rPr>
        <w:t xml:space="preserve">Provider reserves the right to suspend Service immediately for non-payment, without prejudice to any other right or remedy.</w:t>
      </w:r>
    </w:p>
    <w:p>
      <w:pPr>
        <w:spacing w:after="200" w:before="0"/>
      </w:pPr>
      <w:r>
        <w:t xml:space="preserve"/>
      </w:r>
    </w:p>
    <w:p>
      <w:r>
        <w:br w:type="page"/>
      </w:r>
    </w:p>
    <w:p>
      <w:pPr>
        <w:pStyle w:val="Heading1"/>
        <w:pBdr>
          <w:bottom w:val="single" w:color="2563C4" w:sz="6" w:space="6"/>
        </w:pBdr>
        <w:spacing w:after="140" w:before="400"/>
      </w:pPr>
      <w:r>
        <w:rPr>
          <w:rFonts w:ascii="Arial" w:cs="Arial" w:eastAsia="Arial" w:hAnsi="Arial"/>
          <w:b/>
          <w:bCs/>
          <w:color w:val="1A1D27"/>
          <w:sz w:val="28"/>
          <w:szCs w:val="28"/>
        </w:rPr>
        <w:t xml:space="preserve">10. Limitation of Liability</w:t>
      </w:r>
    </w:p>
    <w:p>
      <w:pPr>
        <w:pBdr>
          <w:left w:val="single" w:color="2563C4" w:sz="12" w:space="8"/>
        </w:pBdr>
        <w:spacing w:after="110" w:before="0"/>
        <w:ind w:left="400" w:right="200"/>
      </w:pPr>
      <w:r>
        <w:rPr>
          <w:rFonts w:ascii="Arial" w:cs="Arial" w:eastAsia="Arial" w:hAnsi="Arial"/>
          <w:color w:val="1A1D27"/>
          <w:sz w:val="20"/>
          <w:szCs w:val="20"/>
        </w:rPr>
        <w:t xml:space="preserve">TO THE MAXIMUM EXTENT PERMITTED BY LAW, PROVIDER'S TOTAL AGGREGATE LIABILITY TO CLIENT FOR ANY AND ALL CLAIMS ARISING UNDER OR RELATED TO THIS AGREEMENT SHALL NOT EXCEED THE TOTAL FEES PAID BY CLIENT IN THE THREE (3) MONTHS IMMEDIATELY PRECEDING THE EVENT GIVING RISE TO THE CLAIM.</w:t>
      </w:r>
    </w:p>
    <w:p>
      <w:pPr>
        <w:pBdr>
          <w:left w:val="single" w:color="2563C4" w:sz="12" w:space="8"/>
        </w:pBdr>
        <w:spacing w:after="110" w:before="0"/>
        <w:ind w:left="400" w:right="200"/>
      </w:pPr>
      <w:r>
        <w:rPr>
          <w:rFonts w:ascii="Arial" w:cs="Arial" w:eastAsia="Arial" w:hAnsi="Arial"/>
          <w:color w:val="1A1D27"/>
          <w:sz w:val="20"/>
          <w:szCs w:val="20"/>
        </w:rPr>
        <w:t xml:space="preserve">IN NO EVENT SHALL PROVIDER BE LIABLE FOR ANY INDIRECT, INCIDENTAL, SPECIAL, CONSEQUENTIAL, OR PUNITIVE DAMAGES, INCLUDING WITHOUT LIMITATION LOST PROFITS, LOST REVENUE, LOST BUSINESS OPPORTUNITY, REPUTATIONAL HARM, OR LOSS OF GOODWILL, REGARDLESS OF THE THEORY OF LIABILITY, EVEN IF PROVIDER HAS BEEN ADVISED OF THE POSSIBILITY OF SUCH DAMAGES.</w:t>
      </w:r>
    </w:p>
    <w:p>
      <w:pPr>
        <w:spacing w:after="110" w:before="0"/>
      </w:pPr>
      <w:r>
        <w:rPr>
          <w:rFonts w:ascii="Arial" w:cs="Arial" w:eastAsia="Arial" w:hAnsi="Arial"/>
          <w:color w:val="4A5568"/>
          <w:sz w:val="21"/>
          <w:szCs w:val="21"/>
        </w:rPr>
        <w:t xml:space="preserve">The limitations in this Section apply to the fullest extent permitted by applicable law and shall survive termination of this Agreement. Nothing in this Section limits liability that cannot be excluded or limited under applicable mandatory law, including liability for Provider's gross negligence or willful misconduct.</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11. Force Majeure</w:t>
      </w:r>
    </w:p>
    <w:p>
      <w:pPr>
        <w:pBdr>
          <w:left w:val="single" w:color="2563C4" w:sz="12" w:space="8"/>
        </w:pBdr>
        <w:spacing w:after="110" w:before="0"/>
        <w:ind w:left="400" w:right="200"/>
      </w:pPr>
      <w:r>
        <w:rPr>
          <w:rFonts w:ascii="Arial" w:cs="Arial" w:eastAsia="Arial" w:hAnsi="Arial"/>
          <w:color w:val="1A1D27"/>
          <w:sz w:val="20"/>
          <w:szCs w:val="20"/>
        </w:rPr>
        <w:t xml:space="preserve">Neither party shall be liable for any failure or delay in performance under this Agreement to the extent caused by circumstances beyond its reasonable control, including without limitation: changes in any third-party platform's terms of service or enforcement policies, platform-wide enforcement actions, technical countermeasures deployed by a third-party platform against the Service, regulatory action, natural disaster, war, or other event of similar character. Mass Enforcement Events as defined in Section 5.3 are expressly included within this definition.</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12. Confidentiality</w:t>
      </w:r>
    </w:p>
    <w:p>
      <w:pPr>
        <w:spacing w:after="110" w:before="0"/>
      </w:pPr>
      <w:r>
        <w:rPr>
          <w:rFonts w:ascii="Arial" w:cs="Arial" w:eastAsia="Arial" w:hAnsi="Arial"/>
          <w:color w:val="4A5568"/>
          <w:sz w:val="21"/>
          <w:szCs w:val="21"/>
        </w:rPr>
        <w:t xml:space="preserve">Each party agrees to maintain the confidentiality of the other party's confidential information disclosed in connection with this Agreement.</w:t>
      </w:r>
    </w:p>
    <w:p>
      <w:pPr>
        <w:pBdr>
          <w:left w:val="single" w:color="2563C4" w:sz="12" w:space="8"/>
        </w:pBdr>
        <w:spacing w:after="110" w:before="0"/>
        <w:ind w:left="400" w:right="200"/>
      </w:pPr>
      <w:r>
        <w:rPr>
          <w:rFonts w:ascii="Arial" w:cs="Arial" w:eastAsia="Arial" w:hAnsi="Arial"/>
          <w:color w:val="1A1D27"/>
          <w:sz w:val="20"/>
          <w:szCs w:val="20"/>
        </w:rPr>
        <w:t xml:space="preserve">Client specifically agrees not to disclose, publish, or discuss the methodology, technical architecture, or operational details of the Service with any third party, including without limitation journalists, competitors, regulators, or Platform operators, without Provider's prior written consent, except as required by valid legal process. Client acknowledges that unauthorized disclosure of Provider's methodology may cause irreparable harm to Provider, entitling Provider to seek injunctive relief in addition to all other available remedies.</w:t>
      </w:r>
    </w:p>
    <w:p>
      <w:pPr>
        <w:spacing w:after="200" w:before="0"/>
      </w:pPr>
      <w:r>
        <w:t xml:space="preserve"/>
      </w:r>
    </w:p>
    <w:p>
      <w:r>
        <w:br w:type="page"/>
      </w:r>
    </w:p>
    <w:p>
      <w:pPr>
        <w:pStyle w:val="Heading1"/>
        <w:pBdr>
          <w:bottom w:val="single" w:color="2563C4" w:sz="6" w:space="6"/>
        </w:pBdr>
        <w:spacing w:after="140" w:before="400"/>
      </w:pPr>
      <w:r>
        <w:rPr>
          <w:rFonts w:ascii="Arial" w:cs="Arial" w:eastAsia="Arial" w:hAnsi="Arial"/>
          <w:b/>
          <w:bCs/>
          <w:color w:val="1A1D27"/>
          <w:sz w:val="28"/>
          <w:szCs w:val="28"/>
        </w:rPr>
        <w:t xml:space="preserve">13. Termination and Suspension</w:t>
      </w:r>
    </w:p>
    <w:p>
      <w:pPr>
        <w:pBdr>
          <w:left w:val="single" w:color="2563C4" w:sz="12" w:space="8"/>
        </w:pBdr>
        <w:spacing w:after="110" w:before="0"/>
        <w:ind w:left="400" w:right="200"/>
      </w:pPr>
      <w:r>
        <w:rPr>
          <w:rFonts w:ascii="Arial" w:cs="Arial" w:eastAsia="Arial" w:hAnsi="Arial"/>
          <w:color w:val="1A1D27"/>
          <w:sz w:val="20"/>
          <w:szCs w:val="20"/>
        </w:rPr>
        <w:t xml:space="preserve">Provider may suspend or terminate the Service immediately, without liability to Client, if Provider determines in its reasonable discretion that continued operation presents legal, regulatory, operational, or reputational risk to Provider — including without limitation upon receipt of any legal demand, regulatory inquiry, or Platform enforcement communication concerning Client's use of the Service. No refund of prepaid fees is owed in the event of suspension or termination under this Section.</w:t>
      </w:r>
    </w:p>
    <w:p>
      <w:pPr>
        <w:spacing w:after="110" w:before="0"/>
      </w:pPr>
      <w:r>
        <w:rPr>
          <w:rFonts w:ascii="Arial" w:cs="Arial" w:eastAsia="Arial" w:hAnsi="Arial"/>
          <w:color w:val="4A5568"/>
          <w:sz w:val="21"/>
          <w:szCs w:val="21"/>
        </w:rPr>
        <w:t xml:space="preserve">Either party may terminate this Agreement for the other party's uncured material breach following thirty (30) days' written notice of such breach.</w:t>
      </w:r>
    </w:p>
    <w:p>
      <w:pPr>
        <w:pStyle w:val="Heading2"/>
        <w:spacing w:after="90" w:before="240"/>
      </w:pPr>
      <w:r>
        <w:rPr>
          <w:rFonts w:ascii="Arial" w:cs="Arial" w:eastAsia="Arial" w:hAnsi="Arial"/>
          <w:b/>
          <w:bCs/>
          <w:color w:val="2563C4"/>
          <w:sz w:val="23"/>
          <w:szCs w:val="23"/>
        </w:rPr>
        <w:t xml:space="preserve">13.1 Data and Access Revocation on Termination</w:t>
      </w:r>
    </w:p>
    <w:p>
      <w:pPr>
        <w:spacing w:after="110" w:before="0"/>
      </w:pPr>
      <w:r>
        <w:rPr>
          <w:rFonts w:ascii="Arial" w:cs="Arial" w:eastAsia="Arial" w:hAnsi="Arial"/>
          <w:color w:val="4A5568"/>
          <w:sz w:val="21"/>
          <w:szCs w:val="21"/>
        </w:rPr>
        <w:t xml:space="preserve">Upon termination or cancellation of the Service for any reason, Provider will revoke and delete any OAuth token or credential granting Provider access to a Client Primary Account within twenty-four (24) hours. Provider will delete Client's account data, content history, and configuration data from active systems within thirty (30) days of termination, except where retention is required for legal, tax, or accounting purposes, or to resolve an active dispute between the parties. Client may request written confirmation of deletion.</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14. Governing Law and Dispute Resolution</w:t>
      </w:r>
    </w:p>
    <w:p>
      <w:pPr>
        <w:spacing w:after="110" w:before="0"/>
      </w:pPr>
      <w:r>
        <w:rPr>
          <w:rFonts w:ascii="Arial" w:cs="Arial" w:eastAsia="Arial" w:hAnsi="Arial"/>
          <w:color w:val="4A5568"/>
          <w:sz w:val="21"/>
          <w:szCs w:val="21"/>
        </w:rPr>
        <w:t xml:space="preserve">This Agreement is governed by the laws of the Republic of Cyprus, without regard to conflict of law principles.</w:t>
      </w:r>
    </w:p>
    <w:p>
      <w:pPr>
        <w:pBdr>
          <w:left w:val="single" w:color="2563C4" w:sz="12" w:space="8"/>
        </w:pBdr>
        <w:spacing w:after="110" w:before="0"/>
        <w:ind w:left="400" w:right="200"/>
      </w:pPr>
      <w:r>
        <w:rPr>
          <w:rFonts w:ascii="Arial" w:cs="Arial" w:eastAsia="Arial" w:hAnsi="Arial"/>
          <w:color w:val="1A1D27"/>
          <w:sz w:val="20"/>
          <w:szCs w:val="20"/>
        </w:rPr>
        <w:t xml:space="preserve">Any dispute, controversy, or claim arising out of or relating to this Agreement, including its formation, breach, termination, or validity, shall be finally resolved by binding arbitration administered under the Rules of Arbitration of the International Chamber of Commerce (ICC), by a single arbitrator, seated in Nicosia, Cyprus, conducted in the English language. The arbitrator's award shall be final and binding and may be entered as a judgment in any court of competent jurisdiction.</w:t>
      </w:r>
    </w:p>
    <w:p>
      <w:pPr>
        <w:pBdr>
          <w:left w:val="single" w:color="2563C4" w:sz="12" w:space="8"/>
        </w:pBdr>
        <w:spacing w:after="110" w:before="0"/>
        <w:ind w:left="400" w:right="200"/>
      </w:pPr>
      <w:r>
        <w:rPr>
          <w:rFonts w:ascii="Arial" w:cs="Arial" w:eastAsia="Arial" w:hAnsi="Arial"/>
          <w:color w:val="1A1D27"/>
          <w:sz w:val="20"/>
          <w:szCs w:val="20"/>
        </w:rPr>
        <w:t xml:space="preserve">EACH PARTY WAIVES ANY RIGHT TO PARTICIPATE IN A CLASS, COLLECTIVE, OR REPRESENTATIVE ACTION AGAINST THE OTHER PARTY. ANY ARBITRATION SHALL BE CONDUCTED SOLELY ON AN INDIVIDUAL BASIS.</w:t>
      </w:r>
    </w:p>
    <w:p>
      <w:pPr>
        <w:spacing w:after="110" w:before="0"/>
      </w:pPr>
      <w:r>
        <w:rPr>
          <w:rFonts w:ascii="Arial" w:cs="Arial" w:eastAsia="Arial" w:hAnsi="Arial"/>
          <w:color w:val="4A5568"/>
          <w:sz w:val="21"/>
          <w:szCs w:val="21"/>
        </w:rPr>
        <w:t xml:space="preserve">Notwithstanding the foregoing, Provider may seek injunctive or other equitable relief in any court of competent jurisdiction to protect its confidential information or intellectual property.</w:t>
      </w:r>
    </w:p>
    <w:p>
      <w:pPr>
        <w:spacing w:after="200" w:before="0"/>
      </w:pPr>
      <w:r>
        <w:t xml:space="preserve"/>
      </w:r>
    </w:p>
    <w:p>
      <w:pPr>
        <w:pStyle w:val="Heading1"/>
        <w:pBdr>
          <w:bottom w:val="single" w:color="2563C4" w:sz="6" w:space="6"/>
        </w:pBdr>
        <w:spacing w:after="140" w:before="400"/>
      </w:pPr>
      <w:r>
        <w:rPr>
          <w:rFonts w:ascii="Arial" w:cs="Arial" w:eastAsia="Arial" w:hAnsi="Arial"/>
          <w:b/>
          <w:bCs/>
          <w:color w:val="1A1D27"/>
          <w:sz w:val="28"/>
          <w:szCs w:val="28"/>
        </w:rPr>
        <w:t xml:space="preserve">15. General Provisions</w:t>
      </w:r>
    </w:p>
    <w:p>
      <w:pPr>
        <w:pStyle w:val="ListParagraph"/>
        <w:numPr>
          <w:ilvl w:val="0"/>
          <w:numId w:val="2"/>
        </w:numPr>
        <w:spacing w:after="30" w:before="30"/>
      </w:pPr>
      <w:r>
        <w:rPr>
          <w:rFonts w:ascii="Arial" w:cs="Arial" w:eastAsia="Arial" w:hAnsi="Arial"/>
          <w:color w:val="4A5568"/>
          <w:sz w:val="21"/>
          <w:szCs w:val="21"/>
        </w:rPr>
        <w:t xml:space="preserve">Entire Agreement: This Agreement, together with any order form or subscription confirmation, constitutes the entire agreement between the parties and supersedes all prior agreements, representations, or understandings relating to its subject matter. No statement made in sales materials, marketing content, product demonstrations, or verbal communication modifies this Agreement unless confirmed in a signed written amendment</w:t>
      </w:r>
    </w:p>
    <w:p>
      <w:pPr>
        <w:pStyle w:val="ListParagraph"/>
        <w:numPr>
          <w:ilvl w:val="0"/>
          <w:numId w:val="2"/>
        </w:numPr>
        <w:spacing w:after="30" w:before="30"/>
      </w:pPr>
      <w:r>
        <w:rPr>
          <w:rFonts w:ascii="Arial" w:cs="Arial" w:eastAsia="Arial" w:hAnsi="Arial"/>
          <w:color w:val="4A5568"/>
          <w:sz w:val="21"/>
          <w:szCs w:val="21"/>
        </w:rPr>
        <w:t xml:space="preserve">Amendment: Provider may amend this Agreement prospectively upon notice. For amendments to pricing, liability terms, or dispute resolution terms, Provider will seek Client's affirmative acknowledgment before the amendment takes effect as to that Client; for all other amendments, continued use after the effective date constitutes acceptance</w:t>
      </w:r>
    </w:p>
    <w:p>
      <w:pPr>
        <w:pStyle w:val="ListParagraph"/>
        <w:numPr>
          <w:ilvl w:val="0"/>
          <w:numId w:val="2"/>
        </w:numPr>
        <w:spacing w:after="30" w:before="30"/>
      </w:pPr>
      <w:r>
        <w:rPr>
          <w:rFonts w:ascii="Arial" w:cs="Arial" w:eastAsia="Arial" w:hAnsi="Arial"/>
          <w:color w:val="4A5568"/>
          <w:sz w:val="21"/>
          <w:szCs w:val="21"/>
        </w:rPr>
        <w:t xml:space="preserve">Assignment: Client may not assign this Agreement without Provider's prior written consent; Provider may assign this Agreement in connection with a merger, acquisition, or sale of assets</w:t>
      </w:r>
    </w:p>
    <w:p>
      <w:pPr>
        <w:pStyle w:val="ListParagraph"/>
        <w:numPr>
          <w:ilvl w:val="0"/>
          <w:numId w:val="2"/>
        </w:numPr>
        <w:spacing w:after="30" w:before="30"/>
      </w:pPr>
      <w:r>
        <w:rPr>
          <w:rFonts w:ascii="Arial" w:cs="Arial" w:eastAsia="Arial" w:hAnsi="Arial"/>
          <w:color w:val="4A5568"/>
          <w:sz w:val="21"/>
          <w:szCs w:val="21"/>
        </w:rPr>
        <w:t xml:space="preserve">Severability: If any provision of this Agreement is held unenforceable, the remaining provisions remain in full force and effect</w:t>
      </w:r>
    </w:p>
    <w:p>
      <w:pPr>
        <w:pStyle w:val="ListParagraph"/>
        <w:numPr>
          <w:ilvl w:val="0"/>
          <w:numId w:val="2"/>
        </w:numPr>
        <w:spacing w:after="30" w:before="30"/>
      </w:pPr>
      <w:r>
        <w:rPr>
          <w:rFonts w:ascii="Arial" w:cs="Arial" w:eastAsia="Arial" w:hAnsi="Arial"/>
          <w:color w:val="4A5568"/>
          <w:sz w:val="21"/>
          <w:szCs w:val="21"/>
        </w:rPr>
        <w:t xml:space="preserve">No Waiver: Provider's failure to enforce any provision does not constitute a waiver of that provision</w:t>
      </w:r>
    </w:p>
    <w:p>
      <w:pPr>
        <w:pStyle w:val="ListParagraph"/>
        <w:numPr>
          <w:ilvl w:val="0"/>
          <w:numId w:val="2"/>
        </w:numPr>
        <w:spacing w:after="30" w:before="30"/>
      </w:pPr>
      <w:r>
        <w:rPr>
          <w:rFonts w:ascii="Arial" w:cs="Arial" w:eastAsia="Arial" w:hAnsi="Arial"/>
          <w:color w:val="4A5568"/>
          <w:sz w:val="21"/>
          <w:szCs w:val="21"/>
        </w:rPr>
        <w:t xml:space="preserve">Notices: Notices under this Agreement shall be sent to the contact details on file for each party</w:t>
      </w:r>
    </w:p>
    <w:p>
      <w:pPr>
        <w:spacing w:after="280" w:before="0"/>
      </w:pPr>
      <w:r>
        <w:t xml:space="preserve"/>
      </w:r>
    </w:p>
    <w:p>
      <w:pPr>
        <w:pBdr>
          <w:top w:val="single" w:color="DDDDDD" w:sz="4" w:space="6"/>
        </w:pBdr>
        <w:spacing w:after="0" w:before="280"/>
        <w:jc w:val="center"/>
      </w:pPr>
      <w:r>
        <w:rPr>
          <w:rFonts w:ascii="Arial" w:cs="Arial" w:eastAsia="Arial" w:hAnsi="Arial"/>
          <w:i/>
          <w:iCs/>
          <w:color w:val="AAAAAA"/>
          <w:sz w:val="16"/>
          <w:szCs w:val="16"/>
        </w:rPr>
        <w:t xml:space="preserve">RAMP  ·  Terms and Conditions  ·  Confidential Draft — For Legal Review Before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1D27"/>
      <w:sz w:val="28"/>
      <w:szCs w:val="28"/>
    </w:rPr>
  </w:style>
  <w:style w:type="paragraph" w:styleId="Heading2">
    <w:name w:val="Heading 2"/>
    <w:basedOn w:val="Normal"/>
    <w:next w:val="Normal"/>
    <w:qFormat/>
    <w:pPr>
      <w:spacing w:after="90" w:before="240"/>
      <w:outlineLvl w:val="1"/>
    </w:pPr>
    <w:rPr>
      <w:rFonts w:ascii="Arial" w:cs="Arial" w:eastAsia="Arial" w:hAnsi="Arial"/>
      <w:b/>
      <w:bCs/>
      <w:color w:val="2563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2026-07-15T19:52:06.801Z</dcterms:created>
  <dcterms:modified xsi:type="dcterms:W3CDTF">2026-07-15T19:52:06.824Z</dcterms:modified>
</cp:coreProperties>
</file>

<file path=docProps/custom.xml><?xml version="1.0" encoding="utf-8"?>
<Properties xmlns="http://schemas.openxmlformats.org/officeDocument/2006/custom-properties" xmlns:vt="http://schemas.openxmlformats.org/officeDocument/2006/docPropsVTypes"/>
</file>