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/>
          <w:b/>
          <w:i w:val="0"/>
          <w:color w:val="1A3A5C"/>
          <w:sz w:val="30"/>
        </w:rPr>
        <w:t>Qualificação Aprovada — DEM-2026-007</w:t>
      </w:r>
    </w:p>
    <w:p>
      <w:r>
        <w:t>Data: 2026-05-20</w:t>
      </w:r>
    </w:p>
    <w:p>
      <w:r>
        <w:t>Aprovado para: Fase de Documentação (Steps 7–13)</w:t>
      </w:r>
    </w:p>
    <w:p>
      <w:r>
        <w:t>Decisão checkpoint Step 6: AVANÇAR PARA DOCUMENTAÇÃO</w:t>
      </w:r>
    </w:p>
    <w:p/>
    <w:p>
      <w:pPr>
        <w:pBdr>
          <w:bottom w:val="single" w:sz="6" w:space="1" w:color="CCCCCC"/>
        </w:pBdr>
      </w:pPr>
    </w:p>
    <w:p/>
    <w:p>
      <w:pPr>
        <w:pStyle w:val="Heading2"/>
      </w:pPr>
      <w:r>
        <w:rPr>
          <w:rFonts w:ascii="Calibri" w:hAnsi="Calibri"/>
          <w:b/>
          <w:i w:val="0"/>
          <w:color w:val="1E5296"/>
          <w:sz w:val="25"/>
        </w:rPr>
        <w:t>Identificação do Projeto</w:t>
      </w:r>
    </w:p>
    <w:p/>
    <w:tbl>
      <w:tblPr>
        <w:tblStyle w:val="TableGrid"/>
        <w:tblLook w:firstColumn="1" w:firstRow="1" w:lastColumn="0" w:lastRow="0" w:noHBand="0" w:noVBand="1" w:val="04A0"/>
        <w:tblW w:w="8900" w:type="dxa"/>
        <w:tblLayout w:type="fixed"/>
      </w:tblPr>
      <w:tblGrid>
        <w:gridCol w:w="4450"/>
        <w:gridCol w:w="4450"/>
      </w:tblGrid>
      <w:tr>
        <w:tc>
          <w:tcPr>
            <w:tcW w:w="4450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w="4450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c>
          <w:tcPr>
            <w:tcW w:w="4450" w:type="dxa"/>
          </w:tcPr>
          <w:p>
            <w:r>
              <w:rPr>
                <w:sz w:val="19"/>
              </w:rPr>
              <w:t>ID</w:t>
            </w:r>
          </w:p>
        </w:tc>
        <w:tc>
          <w:tcPr>
            <w:tcW w:w="4450" w:type="dxa"/>
          </w:tcPr>
          <w:p>
            <w:r>
              <w:rPr>
                <w:sz w:val="19"/>
              </w:rPr>
              <w:t>DEM-2026-007</w:t>
            </w:r>
          </w:p>
        </w:tc>
      </w:tr>
      <w:tr>
        <w:tc>
          <w:tcPr>
            <w:tcW w:w="4450" w:type="dxa"/>
            <w:shd w:val="clear" w:color="auto" w:fill="F0F5FB"/>
          </w:tcPr>
          <w:p>
            <w:r>
              <w:rPr>
                <w:sz w:val="19"/>
              </w:rPr>
              <w:t>Nome</w:t>
            </w:r>
          </w:p>
        </w:tc>
        <w:tc>
          <w:tcPr>
            <w:tcW w:w="4450" w:type="dxa"/>
            <w:shd w:val="clear" w:color="auto" w:fill="F0F5FB"/>
          </w:tcPr>
          <w:p>
            <w:r>
              <w:rPr>
                <w:sz w:val="19"/>
              </w:rPr>
              <w:t>Implantação DDA (Débito Direto Autorizado) no SAP — VAB Matriz</w:t>
            </w:r>
          </w:p>
        </w:tc>
      </w:tr>
      <w:tr>
        <w:tc>
          <w:tcPr>
            <w:tcW w:w="4450" w:type="dxa"/>
          </w:tcPr>
          <w:p>
            <w:r>
              <w:rPr>
                <w:sz w:val="19"/>
              </w:rPr>
              <w:t>Solicitante</w:t>
            </w:r>
          </w:p>
        </w:tc>
        <w:tc>
          <w:tcPr>
            <w:tcW w:w="4450" w:type="dxa"/>
          </w:tcPr>
          <w:p>
            <w:r>
              <w:rPr>
                <w:sz w:val="19"/>
              </w:rPr>
              <w:t>Lucas Medeiros Pereira</w:t>
            </w:r>
          </w:p>
        </w:tc>
      </w:tr>
      <w:tr>
        <w:tc>
          <w:tcPr>
            <w:tcW w:w="4450" w:type="dxa"/>
            <w:shd w:val="clear" w:color="auto" w:fill="F0F5FB"/>
          </w:tcPr>
          <w:p>
            <w:r>
              <w:rPr>
                <w:sz w:val="19"/>
              </w:rPr>
              <w:t>Coordenadora</w:t>
            </w:r>
          </w:p>
        </w:tc>
        <w:tc>
          <w:tcPr>
            <w:tcW w:w="4450" w:type="dxa"/>
            <w:shd w:val="clear" w:color="auto" w:fill="F0F5FB"/>
          </w:tcPr>
          <w:p>
            <w:r>
              <w:rPr>
                <w:sz w:val="19"/>
              </w:rPr>
              <w:t>Noemia Tambara Cardoso Malini</w:t>
            </w:r>
          </w:p>
        </w:tc>
      </w:tr>
      <w:tr>
        <w:tc>
          <w:tcPr>
            <w:tcW w:w="4450" w:type="dxa"/>
          </w:tcPr>
          <w:p>
            <w:r>
              <w:rPr>
                <w:sz w:val="19"/>
              </w:rPr>
              <w:t>Área solicitante</w:t>
            </w:r>
          </w:p>
        </w:tc>
        <w:tc>
          <w:tcPr>
            <w:tcW w:w="4450" w:type="dxa"/>
          </w:tcPr>
          <w:p>
            <w:r>
              <w:rPr>
                <w:sz w:val="19"/>
              </w:rPr>
              <w:t>VAB Matriz — Contas a Pagar (CP)</w:t>
            </w:r>
          </w:p>
        </w:tc>
      </w:tr>
      <w:tr>
        <w:tc>
          <w:tcPr>
            <w:tcW w:w="4450" w:type="dxa"/>
            <w:shd w:val="clear" w:color="auto" w:fill="F0F5FB"/>
          </w:tcPr>
          <w:p>
            <w:r>
              <w:rPr>
                <w:sz w:val="19"/>
              </w:rPr>
              <w:t>Área executora</w:t>
            </w:r>
          </w:p>
        </w:tc>
        <w:tc>
          <w:tcPr>
            <w:tcW w:w="4450" w:type="dxa"/>
            <w:shd w:val="clear" w:color="auto" w:fill="F0F5FB"/>
          </w:tcPr>
          <w:p>
            <w:r>
              <w:rPr>
                <w:sz w:val="19"/>
              </w:rPr>
              <w:t>DTI — Sustentação ERP FI</w:t>
            </w:r>
          </w:p>
        </w:tc>
      </w:tr>
      <w:tr>
        <w:tc>
          <w:tcPr>
            <w:tcW w:w="4450" w:type="dxa"/>
          </w:tcPr>
          <w:p>
            <w:r>
              <w:rPr>
                <w:sz w:val="19"/>
              </w:rPr>
              <w:t>Classificação</w:t>
            </w:r>
          </w:p>
        </w:tc>
        <w:tc>
          <w:tcPr>
            <w:tcW w:w="4450" w:type="dxa"/>
          </w:tcPr>
          <w:p>
            <w:r>
              <w:rPr>
                <w:sz w:val="19"/>
              </w:rPr>
              <w:t>MELHORIA EVOLUTIVA → Sustentação ERP FI (provisória — CB-2 confirma ou reclassifica)</w:t>
            </w:r>
          </w:p>
        </w:tc>
      </w:tr>
      <w:tr>
        <w:tc>
          <w:tcPr>
            <w:tcW w:w="4450" w:type="dxa"/>
            <w:shd w:val="clear" w:color="auto" w:fill="F0F5FB"/>
          </w:tcPr>
          <w:p>
            <w:r>
              <w:rPr>
                <w:sz w:val="19"/>
              </w:rPr>
              <w:t>Score qualificação</w:t>
            </w:r>
          </w:p>
        </w:tc>
        <w:tc>
          <w:tcPr>
            <w:tcW w:w="4450" w:type="dxa"/>
            <w:shd w:val="clear" w:color="auto" w:fill="F0F5FB"/>
          </w:tcPr>
          <w:p>
            <w:r>
              <w:rPr>
                <w:sz w:val="19"/>
              </w:rPr>
              <w:t>49/100 (49%)</w:t>
            </w:r>
          </w:p>
        </w:tc>
      </w:tr>
      <w:tr>
        <w:tc>
          <w:tcPr>
            <w:tcW w:w="4450" w:type="dxa"/>
          </w:tcPr>
          <w:p>
            <w:r>
              <w:rPr>
                <w:sz w:val="19"/>
              </w:rPr>
              <w:t>Integração</w:t>
            </w:r>
          </w:p>
        </w:tc>
        <w:tc>
          <w:tcPr>
            <w:tcW w:w="4450" w:type="dxa"/>
          </w:tcPr>
          <w:p>
            <w:r>
              <w:rPr>
                <w:sz w:val="19"/>
              </w:rPr>
              <w:t>SAP x Santander (DDA / CNAB 240)</w:t>
            </w:r>
          </w:p>
        </w:tc>
      </w:tr>
    </w:tbl>
    <w:p/>
    <w:p>
      <w:pPr>
        <w:pBdr>
          <w:bottom w:val="single" w:sz="6" w:space="1" w:color="CCCCCC"/>
        </w:pBdr>
      </w:pPr>
    </w:p>
    <w:p/>
    <w:p>
      <w:pPr>
        <w:pStyle w:val="Heading2"/>
      </w:pPr>
      <w:r>
        <w:rPr>
          <w:rFonts w:ascii="Calibri" w:hAnsi="Calibri"/>
          <w:b/>
          <w:i w:val="0"/>
          <w:color w:val="1E5296"/>
          <w:sz w:val="25"/>
        </w:rPr>
        <w:t>Necessidade de Negócio</w:t>
      </w:r>
    </w:p>
    <w:p/>
    <w:p>
      <w:r>
        <w:t>O processo atual de pagamento de boletos na VAB Matriz exige que os colaboradores imprimam</w:t>
      </w:r>
    </w:p>
    <w:p>
      <w:r>
        <w:t>boletos físicos ou digitem manualmente o código de barras no sistema SAP. Quando o boleto não</w:t>
      </w:r>
    </w:p>
    <w:p>
      <w:r>
        <w:t>está disponível no sistema no momento do pagamento, o colaborador precisa solicitá-lo a</w:t>
      </w:r>
    </w:p>
    <w:p>
      <w:r>
        <w:t>terceiros, gerando desgaste físico e psicológico, atrasos e dependência de outros colaboradores.</w:t>
      </w:r>
    </w:p>
    <w:p>
      <w:r>
        <w:t>A demanda é a automação do recebimento eletrônico de boletos via DDA diretamente no SAP,</w:t>
      </w:r>
    </w:p>
    <w:p>
      <w:r>
        <w:t>eliminando o processo manual.</w:t>
      </w:r>
    </w:p>
    <w:p/>
    <w:p>
      <w:pPr>
        <w:pStyle w:val="Heading2"/>
      </w:pPr>
      <w:r>
        <w:rPr>
          <w:rFonts w:ascii="Calibri" w:hAnsi="Calibri"/>
          <w:b/>
          <w:i w:val="0"/>
          <w:color w:val="1E5296"/>
          <w:sz w:val="25"/>
        </w:rPr>
        <w:t>Solução Proposta</w:t>
      </w:r>
    </w:p>
    <w:p/>
    <w:p>
      <w:r>
        <w:t>Replicação do modelo DDA já implantado e em produção na Divisão Logística (mesmo ambiente SAP/GAB)</w:t>
      </w:r>
    </w:p>
    <w:p>
      <w:r>
        <w:t>e na unidade VIX, com ajustes para o Contas a Pagar da VAB Matriz. Integração: SAP FI x Santander</w:t>
      </w:r>
    </w:p>
    <w:p>
      <w:r>
        <w:t>via arquivo CNAB 240 / serviço DDA bancário.</w:t>
      </w:r>
    </w:p>
    <w:p/>
    <w:p>
      <w:r/>
      <w:r>
        <w:rPr>
          <w:b/>
        </w:rPr>
        <w:t>CB-2 aberta:</w:t>
      </w:r>
      <w:r>
        <w:t xml:space="preserve"> Natureza e extensão dos ajustes a ser levantada pelo Rafael Requisito (Step 8)</w:t>
      </w:r>
    </w:p>
    <w:p>
      <w:r>
        <w:t>junto ao DTI. Resultado pode reclassificar para PROJETO se esforço &gt; 160h.</w:t>
      </w:r>
    </w:p>
    <w:p/>
    <w:p>
      <w:pPr>
        <w:pBdr>
          <w:bottom w:val="single" w:sz="6" w:space="1" w:color="CCCCCC"/>
        </w:pBdr>
      </w:pPr>
    </w:p>
    <w:p/>
    <w:p>
      <w:pPr>
        <w:pStyle w:val="Heading2"/>
      </w:pPr>
      <w:r>
        <w:rPr>
          <w:rFonts w:ascii="Calibri" w:hAnsi="Calibri"/>
          <w:b/>
          <w:i w:val="0"/>
          <w:color w:val="1E5296"/>
          <w:sz w:val="25"/>
        </w:rPr>
        <w:t>Stakeholders</w:t>
      </w:r>
    </w:p>
    <w:p/>
    <w:tbl>
      <w:tblPr>
        <w:tblStyle w:val="TableGrid"/>
        <w:tblLook w:firstColumn="1" w:firstRow="1" w:lastColumn="0" w:lastRow="0" w:noHBand="0" w:noVBand="1" w:val="04A0"/>
        <w:tblW w:w="8901" w:type="dxa"/>
        <w:tblLayout w:type="fixed"/>
      </w:tblPr>
      <w:tblGrid>
        <w:gridCol w:w="2967"/>
        <w:gridCol w:w="2967"/>
        <w:gridCol w:w="2967"/>
      </w:tblGrid>
      <w:tr>
        <w:tc>
          <w:tcPr>
            <w:tcW w:w="2967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Nome</w:t>
            </w:r>
          </w:p>
        </w:tc>
        <w:tc>
          <w:tcPr>
            <w:tcW w:w="2967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Papel</w:t>
            </w:r>
          </w:p>
        </w:tc>
        <w:tc>
          <w:tcPr>
            <w:tcW w:w="2967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Área</w:t>
            </w:r>
          </w:p>
        </w:tc>
      </w:tr>
      <w:tr>
        <w:tc>
          <w:tcPr>
            <w:tcW w:w="2967" w:type="dxa"/>
          </w:tcPr>
          <w:p>
            <w:r>
              <w:rPr>
                <w:sz w:val="19"/>
              </w:rPr>
              <w:t>Lucas Medeiros Pereira</w:t>
            </w:r>
          </w:p>
        </w:tc>
        <w:tc>
          <w:tcPr>
            <w:tcW w:w="2967" w:type="dxa"/>
          </w:tcPr>
          <w:p>
            <w:r>
              <w:rPr>
                <w:sz w:val="19"/>
              </w:rPr>
              <w:t>Solicitante / Beneficiado</w:t>
            </w:r>
          </w:p>
        </w:tc>
        <w:tc>
          <w:tcPr>
            <w:tcW w:w="2967" w:type="dxa"/>
          </w:tcPr>
          <w:p>
            <w:r>
              <w:rPr>
                <w:sz w:val="19"/>
              </w:rPr>
              <w:t>VAB Matriz — CP</w:t>
            </w:r>
          </w:p>
        </w:tc>
      </w:tr>
      <w:tr>
        <w:tc>
          <w:tcPr>
            <w:tcW w:w="2967" w:type="dxa"/>
            <w:shd w:val="clear" w:color="auto" w:fill="F0F5FB"/>
          </w:tcPr>
          <w:p>
            <w:r>
              <w:rPr>
                <w:sz w:val="19"/>
              </w:rPr>
              <w:t>Noemia Tambara Cardoso Malini</w:t>
            </w:r>
          </w:p>
        </w:tc>
        <w:tc>
          <w:tcPr>
            <w:tcW w:w="2967" w:type="dxa"/>
            <w:shd w:val="clear" w:color="auto" w:fill="F0F5FB"/>
          </w:tcPr>
          <w:p>
            <w:r>
              <w:rPr>
                <w:sz w:val="19"/>
              </w:rPr>
              <w:t>Coordenadora do processo</w:t>
            </w:r>
          </w:p>
        </w:tc>
        <w:tc>
          <w:tcPr>
            <w:tcW w:w="2967" w:type="dxa"/>
            <w:shd w:val="clear" w:color="auto" w:fill="F0F5FB"/>
          </w:tcPr>
          <w:p>
            <w:r>
              <w:rPr>
                <w:sz w:val="19"/>
              </w:rPr>
              <w:t>VAB Matriz</w:t>
            </w:r>
          </w:p>
        </w:tc>
      </w:tr>
      <w:tr>
        <w:tc>
          <w:tcPr>
            <w:tcW w:w="2967" w:type="dxa"/>
          </w:tcPr>
          <w:p>
            <w:r>
              <w:rPr>
                <w:sz w:val="19"/>
              </w:rPr>
              <w:t>Gladston Campos</w:t>
            </w:r>
          </w:p>
        </w:tc>
        <w:tc>
          <w:tcPr>
            <w:tcW w:w="2967" w:type="dxa"/>
          </w:tcPr>
          <w:p>
            <w:r>
              <w:rPr>
                <w:sz w:val="19"/>
              </w:rPr>
              <w:t>Aprovador de negócio / Gerência TI VAB</w:t>
            </w:r>
          </w:p>
        </w:tc>
        <w:tc>
          <w:tcPr>
            <w:tcW w:w="2967" w:type="dxa"/>
          </w:tcPr>
          <w:p>
            <w:r>
              <w:rPr>
                <w:sz w:val="19"/>
              </w:rPr>
              <w:t>VAB Matriz</w:t>
            </w:r>
          </w:p>
        </w:tc>
      </w:tr>
      <w:tr>
        <w:tc>
          <w:tcPr>
            <w:tcW w:w="2967" w:type="dxa"/>
            <w:shd w:val="clear" w:color="auto" w:fill="F0F5FB"/>
          </w:tcPr>
          <w:p>
            <w:r>
              <w:rPr>
                <w:sz w:val="19"/>
              </w:rPr>
              <w:t>Walace Bacelar da Silva</w:t>
            </w:r>
          </w:p>
        </w:tc>
        <w:tc>
          <w:tcPr>
            <w:tcW w:w="2967" w:type="dxa"/>
            <w:shd w:val="clear" w:color="auto" w:fill="F0F5FB"/>
          </w:tcPr>
          <w:p>
            <w:r>
              <w:rPr>
                <w:sz w:val="19"/>
              </w:rPr>
              <w:t>Autorizador Holding (condicional a custo zero)</w:t>
            </w:r>
          </w:p>
        </w:tc>
        <w:tc>
          <w:tcPr>
            <w:tcW w:w="2967" w:type="dxa"/>
            <w:shd w:val="clear" w:color="auto" w:fill="F0F5FB"/>
          </w:tcPr>
          <w:p>
            <w:r>
              <w:rPr>
                <w:sz w:val="19"/>
              </w:rPr>
              <w:t>Holding</w:t>
            </w:r>
          </w:p>
        </w:tc>
      </w:tr>
      <w:tr>
        <w:tc>
          <w:tcPr>
            <w:tcW w:w="2967" w:type="dxa"/>
          </w:tcPr>
          <w:p>
            <w:r>
              <w:rPr>
                <w:sz w:val="19"/>
              </w:rPr>
              <w:t>Viviane Cristina Caliari</w:t>
            </w:r>
          </w:p>
        </w:tc>
        <w:tc>
          <w:tcPr>
            <w:tcW w:w="2967" w:type="dxa"/>
          </w:tcPr>
          <w:p>
            <w:r>
              <w:rPr>
                <w:sz w:val="19"/>
              </w:rPr>
              <w:t>Referência DTI Holding</w:t>
            </w:r>
          </w:p>
        </w:tc>
        <w:tc>
          <w:tcPr>
            <w:tcW w:w="2967" w:type="dxa"/>
          </w:tcPr>
          <w:p>
            <w:r>
              <w:rPr>
                <w:sz w:val="19"/>
              </w:rPr>
              <w:t>Holding DTI</w:t>
            </w:r>
          </w:p>
        </w:tc>
      </w:tr>
      <w:tr>
        <w:tc>
          <w:tcPr>
            <w:tcW w:w="2967" w:type="dxa"/>
            <w:shd w:val="clear" w:color="auto" w:fill="F0F5FB"/>
          </w:tcPr>
          <w:p>
            <w:r>
              <w:rPr>
                <w:sz w:val="19"/>
              </w:rPr>
              <w:t>Henrique Demoner De Lima</w:t>
            </w:r>
          </w:p>
        </w:tc>
        <w:tc>
          <w:tcPr>
            <w:tcW w:w="2967" w:type="dxa"/>
            <w:shd w:val="clear" w:color="auto" w:fill="F0F5FB"/>
          </w:tcPr>
          <w:p>
            <w:r>
              <w:rPr>
                <w:sz w:val="19"/>
              </w:rPr>
              <w:t>Stakeholder VAB</w:t>
            </w:r>
          </w:p>
        </w:tc>
        <w:tc>
          <w:tcPr>
            <w:tcW w:w="2967" w:type="dxa"/>
            <w:shd w:val="clear" w:color="auto" w:fill="F0F5FB"/>
          </w:tcPr>
          <w:p>
            <w:r>
              <w:rPr>
                <w:sz w:val="19"/>
              </w:rPr>
              <w:t>VAB Matriz</w:t>
            </w:r>
          </w:p>
        </w:tc>
      </w:tr>
      <w:tr>
        <w:tc>
          <w:tcPr>
            <w:tcW w:w="2967" w:type="dxa"/>
          </w:tcPr>
          <w:p>
            <w:r>
              <w:rPr>
                <w:sz w:val="19"/>
              </w:rPr>
              <w:t>Wellington Gonçalves Teodoro da Silva</w:t>
            </w:r>
          </w:p>
        </w:tc>
        <w:tc>
          <w:tcPr>
            <w:tcW w:w="2967" w:type="dxa"/>
          </w:tcPr>
          <w:p>
            <w:r>
              <w:rPr>
                <w:sz w:val="19"/>
              </w:rPr>
              <w:t>Stakeholder VAB</w:t>
            </w:r>
          </w:p>
        </w:tc>
        <w:tc>
          <w:tcPr>
            <w:tcW w:w="2967" w:type="dxa"/>
          </w:tcPr>
          <w:p>
            <w:r>
              <w:rPr>
                <w:sz w:val="19"/>
              </w:rPr>
              <w:t>VAB Matriz</w:t>
            </w:r>
          </w:p>
        </w:tc>
      </w:tr>
      <w:tr>
        <w:tc>
          <w:tcPr>
            <w:tcW w:w="2967" w:type="dxa"/>
            <w:shd w:val="clear" w:color="auto" w:fill="F0F5FB"/>
          </w:tcPr>
          <w:p>
            <w:r>
              <w:rPr>
                <w:sz w:val="19"/>
              </w:rPr>
              <w:t>Ana Luisa Curcio Magalhaes</w:t>
            </w:r>
          </w:p>
        </w:tc>
        <w:tc>
          <w:tcPr>
            <w:tcW w:w="2967" w:type="dxa"/>
            <w:shd w:val="clear" w:color="auto" w:fill="F0F5FB"/>
          </w:tcPr>
          <w:p>
            <w:r>
              <w:rPr>
                <w:sz w:val="19"/>
              </w:rPr>
              <w:t>Referência Holding DTI</w:t>
            </w:r>
          </w:p>
        </w:tc>
        <w:tc>
          <w:tcPr>
            <w:tcW w:w="2967" w:type="dxa"/>
            <w:shd w:val="clear" w:color="auto" w:fill="F0F5FB"/>
          </w:tcPr>
          <w:p>
            <w:r>
              <w:rPr>
                <w:sz w:val="19"/>
              </w:rPr>
              <w:t>Holding DTI</w:t>
            </w:r>
          </w:p>
        </w:tc>
      </w:tr>
    </w:tbl>
    <w:p/>
    <w:p>
      <w:pPr>
        <w:pBdr>
          <w:bottom w:val="single" w:sz="6" w:space="1" w:color="CCCCCC"/>
        </w:pBdr>
      </w:pPr>
    </w:p>
    <w:p/>
    <w:p>
      <w:pPr>
        <w:pStyle w:val="Heading2"/>
      </w:pPr>
      <w:r>
        <w:rPr>
          <w:rFonts w:ascii="Calibri" w:hAnsi="Calibri"/>
          <w:b/>
          <w:i w:val="0"/>
          <w:color w:val="1E5296"/>
          <w:sz w:val="25"/>
        </w:rPr>
        <w:t>Aprovações</w:t>
      </w:r>
    </w:p>
    <w:p/>
    <w:tbl>
      <w:tblPr>
        <w:tblStyle w:val="TableGrid"/>
        <w:tblLook w:firstColumn="1" w:firstRow="1" w:lastColumn="0" w:lastRow="0" w:noHBand="0" w:noVBand="1" w:val="04A0"/>
        <w:tblW w:w="8901" w:type="dxa"/>
        <w:tblLayout w:type="fixed"/>
      </w:tblPr>
      <w:tblGrid>
        <w:gridCol w:w="2967"/>
        <w:gridCol w:w="2967"/>
        <w:gridCol w:w="2967"/>
      </w:tblGrid>
      <w:tr>
        <w:tc>
          <w:tcPr>
            <w:tcW w:w="2967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Aprovador</w:t>
            </w:r>
          </w:p>
        </w:tc>
        <w:tc>
          <w:tcPr>
            <w:tcW w:w="2967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Data</w:t>
            </w:r>
          </w:p>
        </w:tc>
        <w:tc>
          <w:tcPr>
            <w:tcW w:w="2967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Natureza</w:t>
            </w:r>
          </w:p>
        </w:tc>
      </w:tr>
      <w:tr>
        <w:tc>
          <w:tcPr>
            <w:tcW w:w="2967" w:type="dxa"/>
          </w:tcPr>
          <w:p>
            <w:r>
              <w:rPr>
                <w:sz w:val="19"/>
              </w:rPr>
              <w:t>Gladston Campos</w:t>
            </w:r>
          </w:p>
        </w:tc>
        <w:tc>
          <w:tcPr>
            <w:tcW w:w="2967" w:type="dxa"/>
          </w:tcPr>
          <w:p>
            <w:r>
              <w:rPr>
                <w:sz w:val="19"/>
              </w:rPr>
              <w:t>06/05/2026</w:t>
            </w:r>
          </w:p>
        </w:tc>
        <w:tc>
          <w:tcPr>
            <w:tcW w:w="2967" w:type="dxa"/>
          </w:tcPr>
          <w:p>
            <w:r>
              <w:rPr>
                <w:sz w:val="19"/>
              </w:rPr>
              <w:t>INCONDICIONAL — "Aprovado!"</w:t>
            </w:r>
          </w:p>
        </w:tc>
      </w:tr>
      <w:tr>
        <w:tc>
          <w:tcPr>
            <w:tcW w:w="2967" w:type="dxa"/>
            <w:shd w:val="clear" w:color="auto" w:fill="F0F5FB"/>
          </w:tcPr>
          <w:p>
            <w:r>
              <w:rPr>
                <w:sz w:val="19"/>
              </w:rPr>
              <w:t>Walace Bacelar da Silva (Holding)</w:t>
            </w:r>
          </w:p>
        </w:tc>
        <w:tc>
          <w:tcPr>
            <w:tcW w:w="2967" w:type="dxa"/>
            <w:shd w:val="clear" w:color="auto" w:fill="F0F5FB"/>
          </w:tcPr>
          <w:p>
            <w:r>
              <w:rPr>
                <w:sz w:val="19"/>
              </w:rPr>
              <w:t>08/04/2026</w:t>
            </w:r>
          </w:p>
        </w:tc>
        <w:tc>
          <w:tcPr>
            <w:tcW w:w="2967" w:type="dxa"/>
            <w:shd w:val="clear" w:color="auto" w:fill="F0F5FB"/>
          </w:tcPr>
          <w:p>
            <w:r>
              <w:rPr>
                <w:sz w:val="19"/>
              </w:rPr>
              <w:t>CONDICIONAL — custo zero; re-autorização necessária se houver custo</w:t>
            </w:r>
          </w:p>
        </w:tc>
      </w:tr>
    </w:tbl>
    <w:p/>
    <w:p>
      <w:pPr>
        <w:pBdr>
          <w:bottom w:val="single" w:sz="6" w:space="1" w:color="CCCCCC"/>
        </w:pBdr>
      </w:pPr>
    </w:p>
    <w:p/>
    <w:p>
      <w:pPr>
        <w:pStyle w:val="Heading2"/>
      </w:pPr>
      <w:r>
        <w:rPr>
          <w:rFonts w:ascii="Calibri" w:hAnsi="Calibri"/>
          <w:b/>
          <w:i w:val="0"/>
          <w:color w:val="1E5296"/>
          <w:sz w:val="25"/>
        </w:rPr>
        <w:t>Benefícios Esperados</w:t>
      </w:r>
    </w:p>
    <w:p/>
    <w:p>
      <w:pPr>
        <w:pStyle w:val="ListNumber"/>
      </w:pPr>
      <w:r>
        <w:t>Eliminação de 100% da digitação manual de código de barras no SAP</w:t>
      </w:r>
    </w:p>
    <w:p>
      <w:pPr>
        <w:pStyle w:val="ListNumber"/>
      </w:pPr>
      <w:r>
        <w:t>Eliminação da dependência de terceiros para obtenção de boletos no momento do pagamento</w:t>
      </w:r>
    </w:p>
    <w:p>
      <w:pPr>
        <w:pStyle w:val="ListNumber"/>
      </w:pPr>
      <w:r>
        <w:t>Eliminação de impressão de papel de boletos</w:t>
      </w:r>
    </w:p>
    <w:p>
      <w:pPr>
        <w:pStyle w:val="ListNumber"/>
      </w:pPr>
      <w:r>
        <w:t>Redução de atrasos e erros no processamento de pagamentos</w:t>
      </w:r>
    </w:p>
    <w:p>
      <w:pPr>
        <w:pStyle w:val="ListNumber"/>
      </w:pPr>
      <w:r>
        <w:t>Alívio de desgaste físico e psicológico da equipe de CP</w:t>
      </w:r>
    </w:p>
    <w:p/>
    <w:p>
      <w:pPr>
        <w:pBdr>
          <w:bottom w:val="single" w:sz="6" w:space="1" w:color="CCCCCC"/>
        </w:pBdr>
      </w:pPr>
    </w:p>
    <w:p/>
    <w:p>
      <w:pPr>
        <w:pStyle w:val="Heading2"/>
      </w:pPr>
      <w:r>
        <w:rPr>
          <w:rFonts w:ascii="Calibri" w:hAnsi="Calibri"/>
          <w:b/>
          <w:i w:val="0"/>
          <w:color w:val="1E5296"/>
          <w:sz w:val="25"/>
        </w:rPr>
        <w:t>Parâmetros de Projeto</w:t>
      </w:r>
    </w:p>
    <w:p/>
    <w:tbl>
      <w:tblPr>
        <w:tblStyle w:val="TableGrid"/>
        <w:tblLook w:firstColumn="1" w:firstRow="1" w:lastColumn="0" w:lastRow="0" w:noHBand="0" w:noVBand="1" w:val="04A0"/>
        <w:tblW w:w="8901" w:type="dxa"/>
        <w:tblLayout w:type="fixed"/>
      </w:tblPr>
      <w:tblGrid>
        <w:gridCol w:w="2967"/>
        <w:gridCol w:w="2967"/>
        <w:gridCol w:w="2967"/>
      </w:tblGrid>
      <w:tr>
        <w:tc>
          <w:tcPr>
            <w:tcW w:w="2967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Parâmetro</w:t>
            </w:r>
          </w:p>
        </w:tc>
        <w:tc>
          <w:tcPr>
            <w:tcW w:w="2967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Valor</w:t>
            </w:r>
          </w:p>
        </w:tc>
        <w:tc>
          <w:tcPr>
            <w:tcW w:w="2967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w="2967" w:type="dxa"/>
          </w:tcPr>
          <w:p>
            <w:r>
              <w:rPr>
                <w:sz w:val="19"/>
              </w:rPr>
              <w:t>Investimento externo estimado</w:t>
            </w:r>
          </w:p>
        </w:tc>
        <w:tc>
          <w:tcPr>
            <w:tcW w:w="2967" w:type="dxa"/>
          </w:tcPr>
          <w:p>
            <w:r>
              <w:rPr>
                <w:sz w:val="19"/>
              </w:rPr>
              <w:t>R$0 a R$8.000</w:t>
            </w:r>
          </w:p>
        </w:tc>
        <w:tc>
          <w:tcPr>
            <w:tcW w:w="2967" w:type="dxa"/>
          </w:tcPr>
          <w:p>
            <w:r>
              <w:rPr>
                <w:sz w:val="19"/>
              </w:rPr>
              <w:t>A confirmar no kick-off gate (CB-3)</w:t>
            </w:r>
          </w:p>
        </w:tc>
      </w:tr>
      <w:tr>
        <w:tc>
          <w:tcPr>
            <w:tcW w:w="2967" w:type="dxa"/>
            <w:shd w:val="clear" w:color="auto" w:fill="F0F5FB"/>
          </w:tcPr>
          <w:p>
            <w:r>
              <w:rPr>
                <w:sz w:val="19"/>
              </w:rPr>
              <w:t>Esforço DTI estimado</w:t>
            </w:r>
          </w:p>
        </w:tc>
        <w:tc>
          <w:tcPr>
            <w:tcW w:w="2967" w:type="dxa"/>
            <w:shd w:val="clear" w:color="auto" w:fill="F0F5FB"/>
          </w:tcPr>
          <w:p>
            <w:r>
              <w:rPr>
                <w:sz w:val="19"/>
              </w:rPr>
              <w:t>80–160h</w:t>
            </w:r>
          </w:p>
        </w:tc>
        <w:tc>
          <w:tcPr>
            <w:tcW w:w="2967" w:type="dxa"/>
            <w:shd w:val="clear" w:color="auto" w:fill="F0F5FB"/>
          </w:tcPr>
          <w:p>
            <w:r>
              <w:rPr>
                <w:sz w:val="19"/>
              </w:rPr>
              <w:t>A confirmar no levantamento técnico (CB-2)</w:t>
            </w:r>
          </w:p>
        </w:tc>
      </w:tr>
      <w:tr>
        <w:tc>
          <w:tcPr>
            <w:tcW w:w="2967" w:type="dxa"/>
          </w:tcPr>
          <w:p>
            <w:r>
              <w:rPr>
                <w:sz w:val="19"/>
              </w:rPr>
              <w:t>Prazo estimado</w:t>
            </w:r>
          </w:p>
        </w:tc>
        <w:tc>
          <w:tcPr>
            <w:tcW w:w="2967" w:type="dxa"/>
          </w:tcPr>
          <w:p>
            <w:r>
              <w:rPr>
                <w:sz w:val="19"/>
              </w:rPr>
              <w:t>3 meses pós-kick-off</w:t>
            </w:r>
          </w:p>
        </w:tc>
        <w:tc>
          <w:tcPr>
            <w:tcW w:w="2967" w:type="dxa"/>
          </w:tcPr>
          <w:p>
            <w:r>
              <w:rPr>
                <w:sz w:val="19"/>
              </w:rPr>
              <w:t>Depende de CB-2</w:t>
            </w:r>
          </w:p>
        </w:tc>
      </w:tr>
      <w:tr>
        <w:tc>
          <w:tcPr>
            <w:tcW w:w="2967" w:type="dxa"/>
            <w:shd w:val="clear" w:color="auto" w:fill="F0F5FB"/>
          </w:tcPr>
          <w:p>
            <w:r>
              <w:rPr>
                <w:sz w:val="19"/>
              </w:rPr>
              <w:t>Prazo meta</w:t>
            </w:r>
          </w:p>
        </w:tc>
        <w:tc>
          <w:tcPr>
            <w:tcW w:w="2967" w:type="dxa"/>
            <w:shd w:val="clear" w:color="auto" w:fill="F0F5FB"/>
          </w:tcPr>
          <w:p>
            <w:r>
              <w:rPr>
                <w:sz w:val="19"/>
              </w:rPr>
              <w:t>Setembro 2026</w:t>
            </w:r>
          </w:p>
        </w:tc>
        <w:tc>
          <w:tcPr>
            <w:tcW w:w="2967" w:type="dxa"/>
            <w:shd w:val="clear" w:color="auto" w:fill="F0F5FB"/>
          </w:tcPr>
          <w:p>
            <w:r>
              <w:rPr>
                <w:sz w:val="19"/>
              </w:rPr>
              <w:t>Orientativo</w:t>
            </w:r>
          </w:p>
        </w:tc>
      </w:tr>
      <w:tr>
        <w:tc>
          <w:tcPr>
            <w:tcW w:w="2967" w:type="dxa"/>
          </w:tcPr>
          <w:p>
            <w:r>
              <w:rPr>
                <w:sz w:val="19"/>
              </w:rPr>
              <w:t>Urgência</w:t>
            </w:r>
          </w:p>
        </w:tc>
        <w:tc>
          <w:tcPr>
            <w:tcW w:w="2967" w:type="dxa"/>
          </w:tcPr>
          <w:p>
            <w:r>
              <w:rPr>
                <w:sz w:val="19"/>
              </w:rPr>
              <w:t>Normal (Criticidade 3)</w:t>
            </w:r>
          </w:p>
        </w:tc>
        <w:tc>
          <w:tcPr>
            <w:tcW w:w="2967" w:type="dxa"/>
          </w:tcPr>
          <w:p>
            <w:r>
              <w:rPr>
                <w:sz w:val="19"/>
              </w:rPr>
              <w:t>Sem data-limite obrigatória</w:t>
            </w:r>
          </w:p>
        </w:tc>
      </w:tr>
      <w:tr>
        <w:tc>
          <w:tcPr>
            <w:tcW w:w="2967" w:type="dxa"/>
            <w:shd w:val="clear" w:color="auto" w:fill="F0F5FB"/>
          </w:tcPr>
          <w:p>
            <w:r>
              <w:rPr>
                <w:sz w:val="19"/>
              </w:rPr>
              <w:t>Precedente</w:t>
            </w:r>
          </w:p>
        </w:tc>
        <w:tc>
          <w:tcPr>
            <w:tcW w:w="2967" w:type="dxa"/>
            <w:shd w:val="clear" w:color="auto" w:fill="F0F5FB"/>
          </w:tcPr>
          <w:p>
            <w:r>
              <w:rPr>
                <w:sz w:val="19"/>
              </w:rPr>
              <w:t>DDA Div. Logística (GAB) + VIX</w:t>
            </w:r>
          </w:p>
        </w:tc>
        <w:tc>
          <w:tcPr>
            <w:tcW w:w="2967" w:type="dxa"/>
            <w:shd w:val="clear" w:color="auto" w:fill="F0F5FB"/>
          </w:tcPr>
          <w:p>
            <w:r>
              <w:rPr>
                <w:sz w:val="19"/>
              </w:rPr>
              <w:t>Confirmado em produção</w:t>
            </w:r>
          </w:p>
        </w:tc>
      </w:tr>
    </w:tbl>
    <w:p/>
    <w:p>
      <w:pPr>
        <w:pBdr>
          <w:bottom w:val="single" w:sz="6" w:space="1" w:color="CCCCCC"/>
        </w:pBdr>
      </w:pPr>
    </w:p>
    <w:p/>
    <w:p>
      <w:pPr>
        <w:pStyle w:val="Heading2"/>
      </w:pPr>
      <w:r>
        <w:rPr>
          <w:rFonts w:ascii="Calibri" w:hAnsi="Calibri"/>
          <w:b/>
          <w:i w:val="0"/>
          <w:color w:val="1E5296"/>
          <w:sz w:val="25"/>
        </w:rPr>
        <w:t>Condições de Kick-off (Não Bloqueiam Esta Fase)</w:t>
      </w:r>
    </w:p>
    <w:p/>
    <w:tbl>
      <w:tblPr>
        <w:tblStyle w:val="TableGrid"/>
        <w:tblLook w:firstColumn="1" w:firstRow="1" w:lastColumn="0" w:lastRow="0" w:noHBand="0" w:noVBand="1" w:val="04A0"/>
        <w:tblW w:w="8901" w:type="dxa"/>
        <w:tblLayout w:type="fixed"/>
      </w:tblPr>
      <w:tblGrid>
        <w:gridCol w:w="2967"/>
        <w:gridCol w:w="2967"/>
        <w:gridCol w:w="2967"/>
      </w:tblGrid>
      <w:tr>
        <w:tc>
          <w:tcPr>
            <w:tcW w:w="2967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CB</w:t>
            </w:r>
          </w:p>
        </w:tc>
        <w:tc>
          <w:tcPr>
            <w:tcW w:w="2967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Descrição</w:t>
            </w:r>
          </w:p>
        </w:tc>
        <w:tc>
          <w:tcPr>
            <w:tcW w:w="2967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Responsável</w:t>
            </w:r>
          </w:p>
        </w:tc>
      </w:tr>
      <w:tr>
        <w:tc>
          <w:tcPr>
            <w:tcW w:w="2967" w:type="dxa"/>
          </w:tcPr>
          <w:p>
            <w:r>
              <w:rPr>
                <w:sz w:val="19"/>
              </w:rPr>
              <w:t>CB-2</w:t>
            </w:r>
          </w:p>
        </w:tc>
        <w:tc>
          <w:tcPr>
            <w:tcW w:w="2967" w:type="dxa"/>
          </w:tcPr>
          <w:p>
            <w:r>
              <w:rPr>
                <w:sz w:val="19"/>
              </w:rPr>
              <w:t>Levantamento técnico dos ajustes — a resolver no Step 8 (Rafael Requisito)</w:t>
            </w:r>
          </w:p>
        </w:tc>
        <w:tc>
          <w:tcPr>
            <w:tcW w:w="2967" w:type="dxa"/>
          </w:tcPr>
          <w:p>
            <w:r>
              <w:rPr>
                <w:sz w:val="19"/>
              </w:rPr>
              <w:t>DTI / Rafael</w:t>
            </w:r>
          </w:p>
        </w:tc>
      </w:tr>
      <w:tr>
        <w:tc>
          <w:tcPr>
            <w:tcW w:w="2967" w:type="dxa"/>
            <w:shd w:val="clear" w:color="auto" w:fill="F0F5FB"/>
          </w:tcPr>
          <w:p>
            <w:r>
              <w:rPr>
                <w:sz w:val="19"/>
              </w:rPr>
              <w:t>CB-3 (Gate KO)</w:t>
            </w:r>
          </w:p>
        </w:tc>
        <w:tc>
          <w:tcPr>
            <w:tcW w:w="2967" w:type="dxa"/>
            <w:shd w:val="clear" w:color="auto" w:fill="F0F5FB"/>
          </w:tcPr>
          <w:p>
            <w:r>
              <w:rPr>
                <w:sz w:val="19"/>
              </w:rPr>
              <w:t>Formalização de custos + re-autorização Holding antes do kickoff</w:t>
            </w:r>
          </w:p>
        </w:tc>
        <w:tc>
          <w:tcPr>
            <w:tcW w:w="2967" w:type="dxa"/>
            <w:shd w:val="clear" w:color="auto" w:fill="F0F5FB"/>
          </w:tcPr>
          <w:p>
            <w:r>
              <w:rPr>
                <w:sz w:val="19"/>
              </w:rPr>
              <w:t>Noemia → Gladston → Walace</w:t>
            </w:r>
          </w:p>
        </w:tc>
      </w:tr>
      <w:tr>
        <w:tc>
          <w:tcPr>
            <w:tcW w:w="2967" w:type="dxa"/>
          </w:tcPr>
          <w:p>
            <w:r>
              <w:rPr>
                <w:sz w:val="19"/>
              </w:rPr>
              <w:t>CB-Sponsor</w:t>
            </w:r>
          </w:p>
        </w:tc>
        <w:tc>
          <w:tcPr>
            <w:tcW w:w="2967" w:type="dxa"/>
          </w:tcPr>
          <w:p>
            <w:r>
              <w:rPr>
                <w:sz w:val="19"/>
              </w:rPr>
              <w:t>Sponsor Diretor+ identificado ou escalada formal</w:t>
            </w:r>
          </w:p>
        </w:tc>
        <w:tc>
          <w:tcPr>
            <w:tcW w:w="2967" w:type="dxa"/>
          </w:tcPr>
          <w:p>
            <w:r>
              <w:rPr>
                <w:sz w:val="19"/>
              </w:rPr>
              <w:t>A definir</w:t>
            </w:r>
          </w:p>
        </w:tc>
      </w:tr>
    </w:tbl>
    <w:p/>
    <w:p>
      <w:pPr>
        <w:pBdr>
          <w:bottom w:val="single" w:sz="6" w:space="1" w:color="CCCCCC"/>
        </w:pBdr>
      </w:pPr>
    </w:p>
    <w:p/>
    <w:p>
      <w:pPr>
        <w:pStyle w:val="Heading2"/>
      </w:pPr>
      <w:r>
        <w:rPr>
          <w:rFonts w:ascii="Calibri" w:hAnsi="Calibri"/>
          <w:b/>
          <w:i w:val="0"/>
          <w:color w:val="1E5296"/>
          <w:sz w:val="25"/>
        </w:rPr>
        <w:t>Contexto Técnico</w:t>
      </w:r>
    </w:p>
    <w:p/>
    <w:p>
      <w:pPr>
        <w:pStyle w:val="ListBullet"/>
      </w:pPr>
      <w:r>
        <w:t>SAP FI em produção na VAB Matriz (mesmo ambiente Grupo Águia Branca)</w:t>
      </w:r>
    </w:p>
    <w:p>
      <w:pPr>
        <w:pStyle w:val="ListBullet"/>
      </w:pPr>
      <w:r>
        <w:t>DDA já operacional na Divisão Logística do GAB (mesmo SAP) — precedente direto</w:t>
      </w:r>
    </w:p>
    <w:p>
      <w:pPr>
        <w:pStyle w:val="ListBullet"/>
      </w:pPr>
      <w:r>
        <w:t>Banco: Santander — integração via CNAB 240 / DDA</w:t>
      </w:r>
    </w:p>
    <w:p>
      <w:pPr>
        <w:pStyle w:val="ListBullet"/>
      </w:pPr>
      <w:r>
        <w:t>Habilitação DDA no Santander VAB Matriz: a confirmar (L5)</w:t>
      </w:r>
    </w:p>
    <w:p>
      <w:pPr>
        <w:pStyle w:val="ListBullet"/>
      </w:pPr>
      <w:r>
        <w:t>Centro de Custo: 200195148</w:t>
      </w:r>
    </w:p>
    <w:p/>
    <w:p>
      <w:pPr>
        <w:pBdr>
          <w:bottom w:val="single" w:sz="6" w:space="1" w:color="CCCCCC"/>
        </w:pBdr>
      </w:pPr>
    </w:p>
    <w:p/>
    <w:p>
      <w:pPr>
        <w:pStyle w:val="Heading2"/>
      </w:pPr>
      <w:r>
        <w:rPr>
          <w:rFonts w:ascii="Calibri" w:hAnsi="Calibri"/>
          <w:b/>
          <w:i w:val="0"/>
          <w:color w:val="1E5296"/>
          <w:sz w:val="25"/>
        </w:rPr>
        <w:t>Critérios de Sucesso (para validação no encerramento)</w:t>
      </w:r>
    </w:p>
    <w:p/>
    <w:p>
      <w:pPr>
        <w:pStyle w:val="ListNumber"/>
      </w:pPr>
      <w:r>
        <w:t>100% dos boletos DDA Santander importados automaticamente no SAP sem digitação manual</w:t>
      </w:r>
    </w:p>
    <w:p>
      <w:pPr>
        <w:pStyle w:val="ListNumber"/>
      </w:pPr>
      <w:r>
        <w:t>Zero atrasos de pagamento causados por ausência de boleto digital em 60 dias pós-go-live</w:t>
      </w:r>
    </w:p>
    <w:p>
      <w:pPr>
        <w:pStyle w:val="ListNumber"/>
      </w:pPr>
      <w:r>
        <w:t>Satisfação da equipe CP ≥ 8/10 na pesquisa pós-implantação</w:t>
      </w:r>
    </w:p>
    <w:p>
      <w:pPr>
        <w:pStyle w:val="ListNumber"/>
      </w:pPr>
      <w:r>
        <w:t>Go-live até 30/09/2026 (meta orientativa)</w:t>
      </w:r>
    </w:p>
    <w:p/>
    <w:sectPr w:rsidR="00FC693F" w:rsidRPr="0006063C" w:rsidSect="00034616">
      <w:pgSz w:w="12240" w:h="15840"/>
      <w:pgMar w:top="1417" w:right="141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