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Planejamento de Prazo — DEM-2026-007</w:t>
      </w:r>
    </w:p>
    <w:p>
      <w:r>
        <w:t>Projeto: Implantação DDA SAP — VAB Matriz</w:t>
      </w:r>
    </w:p>
    <w:p>
      <w:r>
        <w:t>Elaborado por: Carlos Cronograma (VMO Autônomo)</w:t>
      </w:r>
    </w:p>
    <w:p>
      <w:r>
        <w:t>Data: 2026-05-20</w:t>
      </w:r>
    </w:p>
    <w:p>
      <w:r>
        <w:t>Versão: 1.0</w:t>
      </w:r>
    </w:p>
    <w:p/>
    <w:p>
      <w:pPr>
        <w:ind w:left="454"/>
      </w:pPr>
      <w:r>
        <w:rPr>
          <w:color w:val="333333"/>
          <w:sz w:val="20"/>
        </w:rPr>
      </w:r>
      <w:r>
        <w:rPr>
          <w:b/>
          <w:color w:val="333333"/>
          <w:sz w:val="20"/>
        </w:rPr>
        <w:t>Premissa de prazo:</w:t>
      </w:r>
      <w:r>
        <w:rPr>
          <w:color w:val="333333"/>
          <w:sz w:val="20"/>
        </w:rPr>
        <w:t xml:space="preserve"> Este cronograma assume kick-off em 08/06/2026 (após resolução de</w:t>
      </w:r>
    </w:p>
    <w:p>
      <w:pPr>
        <w:ind w:left="454"/>
      </w:pPr>
      <w:r>
        <w:rPr>
          <w:color w:val="333333"/>
          <w:sz w:val="20"/>
        </w:rPr>
        <w:t>CB-3 e CB-Sponsor). Se o kick-off atrasar, todas as datas deslizam proporcionalmente.</w:t>
      </w:r>
    </w:p>
    <w:p>
      <w:pPr>
        <w:ind w:left="454"/>
      </w:pPr>
      <w:r>
        <w:rPr>
          <w:color w:val="333333"/>
          <w:sz w:val="20"/>
        </w:rPr>
        <w:t>A data de go-live de 30/09/2026 é a meta orientativa — o cronograma base (sem buffer) entrega</w:t>
      </w:r>
    </w:p>
    <w:p>
      <w:pPr>
        <w:ind w:left="454"/>
      </w:pPr>
      <w:r>
        <w:rPr>
          <w:color w:val="333333"/>
          <w:sz w:val="20"/>
        </w:rPr>
        <w:t>go-live em 31/08/2026, reservando setembro como buffer de contingência.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WBS — Estrutura Analítica do Projeto</w:t>
      </w:r>
    </w:p>
    <w:p/>
    <w:p>
      <w:r>
        <w:rPr>
          <w:rFonts w:ascii="Courier New" w:hAnsi="Courier New"/>
          <w:sz w:val="18"/>
        </w:rPr>
        <w:t>DEM-2026-007 — Implantação DDA SAP VAB Matriz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1. INICIAÇÃO E PRÉ-REQUISITOS</w:t>
      </w:r>
    </w:p>
    <w:p>
      <w:r>
        <w:rPr>
          <w:rFonts w:ascii="Courier New" w:hAnsi="Courier New"/>
          <w:sz w:val="18"/>
        </w:rPr>
        <w:t>│   ├── 1.1 Resolução de condições bloqueantes de kick-off</w:t>
      </w:r>
    </w:p>
    <w:p>
      <w:r>
        <w:rPr>
          <w:rFonts w:ascii="Courier New" w:hAnsi="Courier New"/>
          <w:sz w:val="18"/>
        </w:rPr>
        <w:t>│   │   ├── 1.1.1 Resolver CB-3 (formalização de custos + autorização Holding)</w:t>
      </w:r>
    </w:p>
    <w:p>
      <w:r>
        <w:rPr>
          <w:rFonts w:ascii="Courier New" w:hAnsi="Courier New"/>
          <w:sz w:val="18"/>
        </w:rPr>
        <w:t>│   │   ├── 1.1.2 Identificar sponsor Diretor+ (CB-Sponsor)</w:t>
      </w:r>
    </w:p>
    <w:p>
      <w:r>
        <w:rPr>
          <w:rFonts w:ascii="Courier New" w:hAnsi="Courier New"/>
          <w:sz w:val="18"/>
        </w:rPr>
        <w:t>│   │   └── 1.1.3 Gate de Kick-off (Gabriel Governança)</w:t>
      </w:r>
    </w:p>
    <w:p>
      <w:r>
        <w:rPr>
          <w:rFonts w:ascii="Courier New" w:hAnsi="Courier New"/>
          <w:sz w:val="18"/>
        </w:rPr>
        <w:t>│   └── 1.2 Mobilização</w:t>
      </w:r>
    </w:p>
    <w:p>
      <w:r>
        <w:rPr>
          <w:rFonts w:ascii="Courier New" w:hAnsi="Courier New"/>
          <w:sz w:val="18"/>
        </w:rPr>
        <w:t>│       ├── 1.2.1 Designação do recurso técnico DTI FI</w:t>
      </w:r>
    </w:p>
    <w:p>
      <w:r>
        <w:rPr>
          <w:rFonts w:ascii="Courier New" w:hAnsi="Courier New"/>
          <w:sz w:val="18"/>
        </w:rPr>
        <w:t>│       └── 1.2.2 Kickoff meeting (GP + Noemia + equipe DTI)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2. LEVANTAMENTO TÉCNICO (CB-2)</w:t>
      </w:r>
    </w:p>
    <w:p>
      <w:r>
        <w:rPr>
          <w:rFonts w:ascii="Courier New" w:hAnsi="Courier New"/>
          <w:sz w:val="18"/>
        </w:rPr>
        <w:t>│   ├── 2.1 Análise da implementação DDA da Div. Logística</w:t>
      </w:r>
    </w:p>
    <w:p>
      <w:r>
        <w:rPr>
          <w:rFonts w:ascii="Courier New" w:hAnsi="Courier New"/>
          <w:sz w:val="18"/>
        </w:rPr>
        <w:t>│   │   ├── 2.1.1 Reunião técnica com equipe Logística</w:t>
      </w:r>
    </w:p>
    <w:p>
      <w:r>
        <w:rPr>
          <w:rFonts w:ascii="Courier New" w:hAnsi="Courier New"/>
          <w:sz w:val="18"/>
        </w:rPr>
        <w:t>│   │   ├── 2.1.2 Revisão dos parâmetros FEBAN/SAP Logística</w:t>
      </w:r>
    </w:p>
    <w:p>
      <w:r>
        <w:rPr>
          <w:rFonts w:ascii="Courier New" w:hAnsi="Courier New"/>
          <w:sz w:val="18"/>
        </w:rPr>
        <w:t>│   │   └── 2.1.3 Revisão do layout CNAB 240 Santander em uso</w:t>
      </w:r>
    </w:p>
    <w:p>
      <w:r>
        <w:rPr>
          <w:rFonts w:ascii="Courier New" w:hAnsi="Courier New"/>
          <w:sz w:val="18"/>
        </w:rPr>
        <w:t>│   ├── 2.2 Mapeamento dos ajustes para o CP VAB</w:t>
      </w:r>
    </w:p>
    <w:p>
      <w:r>
        <w:rPr>
          <w:rFonts w:ascii="Courier New" w:hAnsi="Courier New"/>
          <w:sz w:val="18"/>
        </w:rPr>
        <w:t>│   │   ├── 2.2.1 Reunião com Noemia: especificidades do CP VAB</w:t>
      </w:r>
    </w:p>
    <w:p>
      <w:r>
        <w:rPr>
          <w:rFonts w:ascii="Courier New" w:hAnsi="Courier New"/>
          <w:sz w:val="18"/>
        </w:rPr>
        <w:t>│   │   ├── 2.2.2 Análise das diferenças de processo e configuração</w:t>
      </w:r>
    </w:p>
    <w:p>
      <w:r>
        <w:rPr>
          <w:rFonts w:ascii="Courier New" w:hAnsi="Courier New"/>
          <w:sz w:val="18"/>
        </w:rPr>
        <w:t>│   │   └── 2.2.3 Definição final da lista de ajustes</w:t>
      </w:r>
    </w:p>
    <w:p>
      <w:r>
        <w:rPr>
          <w:rFonts w:ascii="Courier New" w:hAnsi="Courier New"/>
          <w:sz w:val="18"/>
        </w:rPr>
        <w:t>│   └── 2.3 Entregável E-01: Documento de análise técnica aprovado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3. CONFIGURAÇÃO E IMPLEMENTAÇÃO</w:t>
      </w:r>
    </w:p>
    <w:p>
      <w:r>
        <w:rPr>
          <w:rFonts w:ascii="Courier New" w:hAnsi="Courier New"/>
          <w:sz w:val="18"/>
        </w:rPr>
        <w:t>│   ├── 3.1 Habilitação DDA no Santander (em paralelo)</w:t>
      </w:r>
    </w:p>
    <w:p>
      <w:r>
        <w:rPr>
          <w:rFonts w:ascii="Courier New" w:hAnsi="Courier New"/>
          <w:sz w:val="18"/>
        </w:rPr>
        <w:t>│   │   ├── 3.1.1 Contato com Santander para processo de habilitação</w:t>
      </w:r>
    </w:p>
    <w:p>
      <w:r>
        <w:rPr>
          <w:rFonts w:ascii="Courier New" w:hAnsi="Courier New"/>
          <w:sz w:val="18"/>
        </w:rPr>
        <w:t>│   │   ├── 3.1.2 Documentação e envio dos dados da conta VAB</w:t>
      </w:r>
    </w:p>
    <w:p>
      <w:r>
        <w:rPr>
          <w:rFonts w:ascii="Courier New" w:hAnsi="Courier New"/>
          <w:sz w:val="18"/>
        </w:rPr>
        <w:t>│   │   └── 3.1.3 Confirmação de habilitação ativa (E-02)</w:t>
      </w:r>
    </w:p>
    <w:p>
      <w:r>
        <w:rPr>
          <w:rFonts w:ascii="Courier New" w:hAnsi="Courier New"/>
          <w:sz w:val="18"/>
        </w:rPr>
        <w:t>│   ├── 3.2 Configuração SAP FI — Base DDA</w:t>
      </w:r>
    </w:p>
    <w:p>
      <w:r>
        <w:rPr>
          <w:rFonts w:ascii="Courier New" w:hAnsi="Courier New"/>
          <w:sz w:val="18"/>
        </w:rPr>
        <w:t>│   │   ├── 3.2.1 Configurar FEBAN: parâmetros básicos DDA (replicar Logística)</w:t>
      </w:r>
    </w:p>
    <w:p>
      <w:r>
        <w:rPr>
          <w:rFonts w:ascii="Courier New" w:hAnsi="Courier New"/>
          <w:sz w:val="18"/>
        </w:rPr>
        <w:t>│   │   ├── 3.2.2 Configurar empresa VAB Matriz no FEBAN</w:t>
      </w:r>
    </w:p>
    <w:p>
      <w:r>
        <w:rPr>
          <w:rFonts w:ascii="Courier New" w:hAnsi="Courier New"/>
          <w:sz w:val="18"/>
        </w:rPr>
        <w:t>│   │   └── 3.2.3 Configurar conta corrente Santander VAB</w:t>
      </w:r>
    </w:p>
    <w:p>
      <w:r>
        <w:rPr>
          <w:rFonts w:ascii="Courier New" w:hAnsi="Courier New"/>
          <w:sz w:val="18"/>
        </w:rPr>
        <w:t>│   ├── 3.3 Ajustes específicos CP VAB</w:t>
      </w:r>
    </w:p>
    <w:p>
      <w:r>
        <w:rPr>
          <w:rFonts w:ascii="Courier New" w:hAnsi="Courier New"/>
          <w:sz w:val="18"/>
        </w:rPr>
        <w:t>│   │   ├── 3.3.1 Implementar ajustes identificados no E-01</w:t>
      </w:r>
    </w:p>
    <w:p>
      <w:r>
        <w:rPr>
          <w:rFonts w:ascii="Courier New" w:hAnsi="Courier New"/>
          <w:sz w:val="18"/>
        </w:rPr>
        <w:t>│   │   └── 3.3.2 Validação interna dos ajustes (DTI)</w:t>
      </w:r>
    </w:p>
    <w:p>
      <w:r>
        <w:rPr>
          <w:rFonts w:ascii="Courier New" w:hAnsi="Courier New"/>
          <w:sz w:val="18"/>
        </w:rPr>
        <w:t>│   └── 3.4 Configuração de perfis de acesso SAP</w:t>
      </w:r>
    </w:p>
    <w:p>
      <w:r>
        <w:rPr>
          <w:rFonts w:ascii="Courier New" w:hAnsi="Courier New"/>
          <w:sz w:val="18"/>
        </w:rPr>
        <w:t>│       └── 3.4.1 Definir e configurar perfis de usuário DDA (CP + DTI FI)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4. TESTES</w:t>
      </w:r>
    </w:p>
    <w:p>
      <w:r>
        <w:rPr>
          <w:rFonts w:ascii="Courier New" w:hAnsi="Courier New"/>
          <w:sz w:val="18"/>
        </w:rPr>
        <w:t>│   ├── 4.1 Testes de homologação SAP x Santander</w:t>
      </w:r>
    </w:p>
    <w:p>
      <w:r>
        <w:rPr>
          <w:rFonts w:ascii="Courier New" w:hAnsi="Courier New"/>
          <w:sz w:val="18"/>
        </w:rPr>
        <w:t>│   │   ├── 4.1.1 Solicitar arquivo DDA de teste ao Santander</w:t>
      </w:r>
    </w:p>
    <w:p>
      <w:r>
        <w:rPr>
          <w:rFonts w:ascii="Courier New" w:hAnsi="Courier New"/>
          <w:sz w:val="18"/>
        </w:rPr>
        <w:t>│   │   ├── 4.1.2 Processar arquivo DDA teste no SAP (E-03)</w:t>
      </w:r>
    </w:p>
    <w:p>
      <w:r>
        <w:rPr>
          <w:rFonts w:ascii="Courier New" w:hAnsi="Courier New"/>
          <w:sz w:val="18"/>
        </w:rPr>
        <w:t>│   │   └── 4.1.3 Validar todos os RFs Must Have em homologação</w:t>
      </w:r>
    </w:p>
    <w:p>
      <w:r>
        <w:rPr>
          <w:rFonts w:ascii="Courier New" w:hAnsi="Courier New"/>
          <w:sz w:val="18"/>
        </w:rPr>
        <w:t>│   ├── 4.2 Testes de aceitação do usuário (UAT) — E-05 + E-06</w:t>
      </w:r>
    </w:p>
    <w:p>
      <w:r>
        <w:rPr>
          <w:rFonts w:ascii="Courier New" w:hAnsi="Courier New"/>
          <w:sz w:val="18"/>
        </w:rPr>
        <w:t>│   │   ├── 4.2.1 Preparar roteiro de UAT</w:t>
      </w:r>
    </w:p>
    <w:p>
      <w:r>
        <w:rPr>
          <w:rFonts w:ascii="Courier New" w:hAnsi="Courier New"/>
          <w:sz w:val="18"/>
        </w:rPr>
        <w:t>│   │   ├── 4.2.2 Executar UAT com equipe CP VAB</w:t>
      </w:r>
    </w:p>
    <w:p>
      <w:r>
        <w:rPr>
          <w:rFonts w:ascii="Courier New" w:hAnsi="Courier New"/>
          <w:sz w:val="18"/>
        </w:rPr>
        <w:t>│   │   └── 4.2.3 Aprovação e assinatura Noemia (E-06)</w:t>
      </w:r>
    </w:p>
    <w:p>
      <w:r>
        <w:rPr>
          <w:rFonts w:ascii="Courier New" w:hAnsi="Courier New"/>
          <w:sz w:val="18"/>
        </w:rPr>
        <w:t>│   └── 4.3 Correções pós-UAT (se necessário)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5. GO-LIVE E IMPLANTAÇÃO</w:t>
      </w:r>
    </w:p>
    <w:p>
      <w:r>
        <w:rPr>
          <w:rFonts w:ascii="Courier New" w:hAnsi="Courier New"/>
          <w:sz w:val="18"/>
        </w:rPr>
        <w:t>│   ├── 5.1 Treinamento equipe CP (E-08)</w:t>
      </w:r>
    </w:p>
    <w:p>
      <w:r>
        <w:rPr>
          <w:rFonts w:ascii="Courier New" w:hAnsi="Courier New"/>
          <w:sz w:val="18"/>
        </w:rPr>
        <w:t>│   │   ├── 5.1.1 Preparar material de treinamento</w:t>
      </w:r>
    </w:p>
    <w:p>
      <w:r>
        <w:rPr>
          <w:rFonts w:ascii="Courier New" w:hAnsi="Courier New"/>
          <w:sz w:val="18"/>
        </w:rPr>
        <w:t>│   │   └── 5.1.2 Executar treinamento</w:t>
      </w:r>
    </w:p>
    <w:p>
      <w:r>
        <w:rPr>
          <w:rFonts w:ascii="Courier New" w:hAnsi="Courier New"/>
          <w:sz w:val="18"/>
        </w:rPr>
        <w:t>│   ├── 5.2 Go-live supervisionado (E-07)</w:t>
      </w:r>
    </w:p>
    <w:p>
      <w:r>
        <w:rPr>
          <w:rFonts w:ascii="Courier New" w:hAnsi="Courier New"/>
          <w:sz w:val="18"/>
        </w:rPr>
        <w:t>│   │   ├── 5.2.1 Migrar configuração para produção</w:t>
      </w:r>
    </w:p>
    <w:p>
      <w:r>
        <w:rPr>
          <w:rFonts w:ascii="Courier New" w:hAnsi="Courier New"/>
          <w:sz w:val="18"/>
        </w:rPr>
        <w:t>│   │   ├── 5.2.2 Acompanhamento do 1º dia em produção</w:t>
      </w:r>
    </w:p>
    <w:p>
      <w:r>
        <w:rPr>
          <w:rFonts w:ascii="Courier New" w:hAnsi="Courier New"/>
          <w:sz w:val="18"/>
        </w:rPr>
        <w:t>│   │   └── 5.2.3 Monitoramento pós-go-live (30 dias)</w:t>
      </w:r>
    </w:p>
    <w:p>
      <w:r>
        <w:rPr>
          <w:rFonts w:ascii="Courier New" w:hAnsi="Courier New"/>
          <w:sz w:val="18"/>
        </w:rPr>
        <w:t>│   └── 5.3 Documentação técnica (E-09)</w:t>
      </w:r>
    </w:p>
    <w:p>
      <w:r>
        <w:rPr>
          <w:rFonts w:ascii="Courier New" w:hAnsi="Courier New"/>
          <w:sz w:val="18"/>
        </w:rPr>
        <w:t>│       └── 5.3.1 Produzir documento técnico final (diferenças vs. Logística)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└── 6. ENCERRAMENTO</w:t>
      </w:r>
    </w:p>
    <w:p>
      <w:r>
        <w:rPr>
          <w:rFonts w:ascii="Courier New" w:hAnsi="Courier New"/>
          <w:sz w:val="18"/>
        </w:rPr>
        <w:t xml:space="preserve">    ├── 6.1 Pesquisa de satisfação equipe CP (CS-3)</w:t>
      </w:r>
    </w:p>
    <w:p>
      <w:r>
        <w:rPr>
          <w:rFonts w:ascii="Courier New" w:hAnsi="Courier New"/>
          <w:sz w:val="18"/>
        </w:rPr>
        <w:t xml:space="preserve">    ├── 6.2 Relatório de encerramento</w:t>
      </w:r>
    </w:p>
    <w:p>
      <w:r>
        <w:rPr>
          <w:rFonts w:ascii="Courier New" w:hAnsi="Courier New"/>
          <w:sz w:val="18"/>
        </w:rPr>
        <w:t xml:space="preserve">    └── 6.3 Aceite formal e arquivamento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Cronograma Detalhado</w:t>
      </w:r>
    </w:p>
    <w:p/>
    <w:p>
      <w:r/>
      <w:r>
        <w:rPr>
          <w:b/>
        </w:rPr>
        <w:t>Data de referência:</w:t>
      </w:r>
      <w:r>
        <w:t xml:space="preserve"> Kick-off = 08/06/2026</w:t>
      </w:r>
    </w:p>
    <w:p/>
    <w:tbl>
      <w:tblPr>
        <w:tblStyle w:val="TableGrid"/>
        <w:tblLook w:firstColumn="1" w:firstRow="1" w:lastColumn="0" w:lastRow="0" w:noHBand="0" w:noVBand="1" w:val="04A0"/>
        <w:tblW w:w="8896" w:type="dxa"/>
        <w:tblLayout w:type="fixed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Atividade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Início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Fim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Duração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Dependência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w="1112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Marco</w:t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FASE 0: PRÉ-KICK-OFF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20/05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06/06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12d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Resolver CB-3 (custos + Holding)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20/05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27/05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5d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—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Noemia/Gladston/Walace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0.2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Identificar sponsor Diretor+ (CB-Sponsor)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20/05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30/05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8d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—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Gladston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0.3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Gate de Kick-off (Gabriel)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02/06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06/06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0.1, 0.2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VMO/Gabriel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M-0</w:t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FASE 1: MOBILIZAÇÃO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09/06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13/06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Designar recurso técnico DTI FI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09/06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09/06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M-0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Gladston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1.2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Kickoff meeting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10/06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13/06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GP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FASE 2: LEVANTAMENTO TÉCNICO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16/06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27/06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2.1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Reunião com equipe Logística + revisão params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16/06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20/06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5d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Reunião com Noemia + análise diferenças CP VAB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23/06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25/06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Recurso DTI + Noemia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2.3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Documento E-01 produzido e aprovado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26/06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27/06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DTI/GP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M-1</w:t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FASE 3: CONFIG + HABILITAÇÃO (paralelas)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25/07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20d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3.1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Contato Santander + processo habilitação DDA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30/06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11/07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M-1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Noemia/Tesouraria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Configuração SAP FEBAN base (replicar Logística)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30/06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11/07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3.3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Confirmação habilitação Santander (E-02)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14/07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18/07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5d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Santander/Noemia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M-2</w:t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3.4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Implementar ajustes específicos CP VAB (E-01)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14/07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25/07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3.2, M-1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3.5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Configurar perfis de acesso SAP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23/07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25/07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FASE 4: TESTES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28/07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15/08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15d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4.1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Solicitar arquivo DDA teste ao Santander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28/07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29/07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3.3, 3.4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4.2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Testes homologação SAP x Santander (E-03)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30/07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08/08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8d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4.1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M-3</w:t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4.3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UAT com equipe CP VAB (E-05)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11/08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14/08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4d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4.2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CP VAB/GP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4.4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Aceite UAT assinado por Noemia (E-06)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15/08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15/08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4.3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Noemia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M-4</w:t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FASE 5: GO-LIVE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18/08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29/08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5.1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Preparar e executar treinamento CP (E-08)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18/08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21/08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4d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M-4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5.2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Deploy em produção + dia 1 supervisionado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25/08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25/08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5.1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DTI/GP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M-5</w:t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5.3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Monitoramento pós-go-live (30 dias)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26/08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26/09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23d úteis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5.2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GP/Recurso DTI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5.4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Documentação técnica final (E-09)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18/08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29/08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10d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M-4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Recurso DTI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FASE 6: ENCERRAMENTO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29/09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30/09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2d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</w:tcPr>
          <w:p>
            <w:r>
              <w:rPr>
                <w:sz w:val="19"/>
              </w:rPr>
              <w:t>6.1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Pesquisa de satisfação equipe CP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29/09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29/09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1d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5.3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  <w:t>GP</w:t>
            </w:r>
          </w:p>
        </w:tc>
        <w:tc>
          <w:tcPr>
            <w:tcW w:w="1112" w:type="dxa"/>
          </w:tcPr>
          <w:p>
            <w:r>
              <w:rPr>
                <w:sz w:val="19"/>
              </w:rPr>
            </w:r>
          </w:p>
        </w:tc>
      </w:tr>
      <w:tr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6.2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Relatório + aceite formal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30/09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30/09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1d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6.1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GP/VMO</w:t>
            </w:r>
          </w:p>
        </w:tc>
        <w:tc>
          <w:tcPr>
            <w:tcW w:w="1112" w:type="dxa"/>
            <w:shd w:val="clear" w:color="auto" w:fill="F0F5FB"/>
          </w:tcPr>
          <w:p>
            <w:r>
              <w:rPr>
                <w:sz w:val="19"/>
              </w:rPr>
              <w:t>M-6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Marcos Principais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1020"/>
        <w:gridCol w:w="3940"/>
        <w:gridCol w:w="3940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Marco</w:t>
            </w:r>
          </w:p>
        </w:tc>
        <w:tc>
          <w:tcPr>
            <w:tcW w:w="394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w="394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 de Conclusão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M-0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06/06/2026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Gate de Kick-off aprovado (CB-3 + CB-Sponsor resolvidas)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M-1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27/06/2026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E-01: Levantamento técnico aprovado (CB-2 resolvida)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M-2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18/07/2026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E-02: Habilitação Santander DDA confirmada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M-3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08/08/2026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E-03+E-04: Config SAP + testes homologação aprovados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M-4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15/08/2026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E-05+E-06: UAT assinado pela Noemia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M-5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25/08/2026</w:t>
            </w:r>
          </w:p>
        </w:tc>
        <w:tc>
          <w:tcPr>
            <w:tcW w:w="3940" w:type="dxa"/>
            <w:shd w:val="clear" w:color="auto" w:fill="F0F5FB"/>
          </w:tcPr>
          <w:p>
            <w:r>
              <w:rPr>
                <w:sz w:val="19"/>
              </w:rPr>
              <w:t>Go-live em produção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M-6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30/09/2026</w:t>
            </w:r>
          </w:p>
        </w:tc>
        <w:tc>
          <w:tcPr>
            <w:tcW w:w="3940" w:type="dxa"/>
          </w:tcPr>
          <w:p>
            <w:r>
              <w:rPr>
                <w:sz w:val="19"/>
              </w:rPr>
              <w:t>Encerramento formal + aceite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Caminho Crítico</w:t>
      </w:r>
    </w:p>
    <w:p/>
    <w:p>
      <w:r>
        <w:rPr>
          <w:rFonts w:ascii="Courier New" w:hAnsi="Courier New"/>
          <w:sz w:val="18"/>
        </w:rPr>
        <w:t>Kick-off (M-0) → Levantamento técnico (M-1) → Habilitação Santander (M-2)</w:t>
      </w:r>
    </w:p>
    <w:p>
      <w:r>
        <w:rPr>
          <w:rFonts w:ascii="Courier New" w:hAnsi="Courier New"/>
          <w:sz w:val="18"/>
        </w:rPr>
        <w:t xml:space="preserve">             ↕</w:t>
      </w:r>
    </w:p>
    <w:p>
      <w:r>
        <w:rPr>
          <w:rFonts w:ascii="Courier New" w:hAnsi="Courier New"/>
          <w:sz w:val="18"/>
        </w:rPr>
        <w:t xml:space="preserve">     Config SAP + ajustes → Testes homologação (M-3) → UAT (M-4) → Go-live (M-5) → Encerramento (M-6)</w:t>
      </w:r>
    </w:p>
    <w:p/>
    <w:p>
      <w:r/>
      <w:r>
        <w:rPr>
          <w:b/>
        </w:rPr>
        <w:t>Atividades críticas (zero folga):</w:t>
      </w:r>
      <w:r/>
    </w:p>
    <w:p>
      <w:pPr>
        <w:pStyle w:val="ListBullet"/>
      </w:pPr>
      <w:r>
        <w:t>0.1 Resolver CB-3 → 0.3 Gate kick-off → 1.2 Kickoff meeting → 2.1-2.3 Levantamento →</w:t>
      </w:r>
    </w:p>
    <w:p>
      <w:r>
        <w:t xml:space="preserve">  3.1 Habilitação Santander → 3.3-3.4 Config+Ajustes → 4.2 Testes → 4.3-4.4 UAT →</w:t>
      </w:r>
    </w:p>
    <w:p>
      <w:r>
        <w:t xml:space="preserve">  5.2 Go-live → 5.3 Monitoramento → 6.2 Encerramento</w:t>
      </w:r>
    </w:p>
    <w:p/>
    <w:p>
      <w:r/>
      <w:r>
        <w:rPr>
          <w:b/>
        </w:rPr>
        <w:t>Risco crítico de caminho:</w:t>
      </w:r>
      <w:r>
        <w:t xml:space="preserve"> A habilitação do Santander (3.1 a 3.3) é o fator externo mais</w:t>
      </w:r>
    </w:p>
    <w:p>
      <w:r>
        <w:t>incerto — se demorar mais de 15 dias úteis, atrasa o caminho crítico diretamente.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Esforço Estimado por Fase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Esforço DTI (h)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Esforço Negócio (h)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0. Pré-kick-off (CBs)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2h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16h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18h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1. Mobilização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4h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4h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8h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2. Levantamento técnico (CB-2)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32h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8h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40h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3. Config + Habilitação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40h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48h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4. Testes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24h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16h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40h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5. Go-live + treinamento + docs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24h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32h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6. Encerramento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4h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2h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Total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130h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62h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192h</w:t>
            </w:r>
          </w:p>
        </w:tc>
      </w:tr>
    </w:tbl>
    <w:p/>
    <w:p>
      <w:pPr>
        <w:ind w:left="454"/>
      </w:pPr>
      <w:r>
        <w:rPr>
          <w:color w:val="333333"/>
          <w:sz w:val="20"/>
        </w:rPr>
      </w:r>
      <w:r>
        <w:rPr>
          <w:b/>
          <w:color w:val="333333"/>
          <w:sz w:val="20"/>
        </w:rPr>
        <w:t>Nota CB-2:</w:t>
      </w:r>
      <w:r>
        <w:rPr>
          <w:color w:val="333333"/>
          <w:sz w:val="20"/>
        </w:rPr>
        <w:t xml:space="preserve"> Se os ajustes forem somente parametrização (P-5 confirmada), esforço DTI</w:t>
      </w:r>
    </w:p>
    <w:p>
      <w:pPr>
        <w:ind w:left="454"/>
      </w:pPr>
      <w:r>
        <w:rPr>
          <w:color w:val="333333"/>
          <w:sz w:val="20"/>
        </w:rPr>
        <w:t>estimado é 100–130h (Melhoria Evolutiva). Se envolverem desenvolvimento ABAP, esforço pode</w:t>
      </w:r>
    </w:p>
    <w:p>
      <w:pPr>
        <w:ind w:left="454"/>
      </w:pPr>
      <w:r>
        <w:rPr>
          <w:color w:val="333333"/>
          <w:sz w:val="20"/>
        </w:rPr>
        <w:t>atingir 160–200h — neste caso, projeto deve ser reclassificado antes do kick-off.</w:t>
      </w:r>
    </w:p>
    <w:p>
      <w:pPr>
        <w:ind w:left="454"/>
      </w:pPr>
      <w:r>
        <w:rPr>
          <w:color w:val="333333"/>
          <w:sz w:val="20"/>
        </w:rPr>
        <w:t>Esta estimativa assume P-5 verdadeira.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Buffer de Contingência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4450"/>
        <w:gridCol w:w="4450"/>
      </w:tblGrid>
      <w:tr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Prazo base (kick-off ao go-live)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11 semanas (08/06 a 25/08/2026)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Buffer de contingência (15%)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1,65 semanas ≈ 8 dias úteis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Buffer aplicado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Setembro 2026 (26/08 a 30/09/2026 = 26 dias úteis)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Prazo com buffer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30/09/2026 (go-live meta)</w:t>
            </w:r>
          </w:p>
        </w:tc>
      </w:tr>
    </w:tbl>
    <w:p/>
    <w:p>
      <w:r>
        <w:t>O buffer de contingência de setembro absorve: (1) atraso na habilitação Santander; (2)</w:t>
      </w:r>
    </w:p>
    <w:p>
      <w:r>
        <w:t>retrabalho pós-UAT; (3) ajustes identificados como mais complexos que parametrização (CB-2).</w:t>
      </w:r>
    </w:p>
    <w:p>
      <w:r>
        <w:t>Não absorve: reclassificação como PROJETO (exige novo ciclo de planejamento).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