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i w:val="0"/>
          <w:color w:val="1A3A5C"/>
          <w:sz w:val="30"/>
        </w:rPr>
        <w:t>Framework de KPIs — DEM-2026-007</w:t>
      </w:r>
    </w:p>
    <w:p>
      <w:r>
        <w:t>Projeto: Implantação DDA SAP — VAB Matriz</w:t>
      </w:r>
    </w:p>
    <w:p>
      <w:r>
        <w:t>Elaborado por: Marcela Métrica (VMO Autônomo)</w:t>
      </w:r>
    </w:p>
    <w:p>
      <w:r>
        <w:t>Data: 2026-05-20</w:t>
      </w:r>
    </w:p>
    <w:p>
      <w:r>
        <w:t>Versão: 1.0</w:t>
      </w:r>
    </w:p>
    <w:p/>
    <w:p>
      <w:r>
        <w:t>BAC (Budget at Completion): R$2.000 (reserva de contingência — custo externo meta: R$0)</w:t>
      </w:r>
    </w:p>
    <w:p>
      <w:r>
        <w:t>Método de medição de EV: Marcos binários (0% / 100%) por fase do cronograma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KPIs de Desempenho do Projeto (EVM)</w:t>
      </w:r>
    </w:p>
    <w:p/>
    <w:tbl>
      <w:tblPr>
        <w:tblStyle w:val="TableGrid"/>
        <w:tblLook w:firstColumn="1" w:firstRow="1" w:lastColumn="0" w:lastRow="0" w:noHBand="0" w:noVBand="1" w:val="04A0"/>
        <w:tblW w:w="8898" w:type="dxa"/>
        <w:tblLayout w:type="fixed"/>
      </w:tblPr>
      <w:tblGrid>
        <w:gridCol w:w="1483"/>
        <w:gridCol w:w="1483"/>
        <w:gridCol w:w="1483"/>
        <w:gridCol w:w="1483"/>
        <w:gridCol w:w="1483"/>
        <w:gridCol w:w="1483"/>
      </w:tblGrid>
      <w:tr>
        <w:tc>
          <w:tcPr>
            <w:tcW w:w="1483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w="1483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Fórmula</w:t>
            </w:r>
          </w:p>
        </w:tc>
        <w:tc>
          <w:tcPr>
            <w:tcW w:w="1483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Linha de Base</w:t>
            </w:r>
          </w:p>
        </w:tc>
        <w:tc>
          <w:tcPr>
            <w:tcW w:w="1483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Limiar Amarelo</w:t>
            </w:r>
          </w:p>
        </w:tc>
        <w:tc>
          <w:tcPr>
            <w:tcW w:w="1483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Limiar Vermelho</w:t>
            </w:r>
          </w:p>
        </w:tc>
        <w:tc>
          <w:tcPr>
            <w:tcW w:w="1483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Responsável</w:t>
            </w:r>
          </w:p>
        </w:tc>
      </w:tr>
      <w:tr>
        <w:tc>
          <w:tcPr>
            <w:tcW w:w="1483" w:type="dxa"/>
          </w:tcPr>
          <w:p>
            <w:r>
              <w:rPr>
                <w:sz w:val="19"/>
              </w:rPr>
              <w:t>SPI (Schedule Performance Index)</w:t>
            </w:r>
          </w:p>
        </w:tc>
        <w:tc>
          <w:tcPr>
            <w:tcW w:w="1483" w:type="dxa"/>
          </w:tcPr>
          <w:p>
            <w:r>
              <w:rPr>
                <w:sz w:val="19"/>
              </w:rPr>
              <w:t>EV / PV</w:t>
            </w:r>
          </w:p>
        </w:tc>
        <w:tc>
          <w:tcPr>
            <w:tcW w:w="1483" w:type="dxa"/>
          </w:tcPr>
          <w:p>
            <w:r>
              <w:rPr>
                <w:sz w:val="19"/>
              </w:rPr>
              <w:t>1,00</w:t>
            </w:r>
          </w:p>
        </w:tc>
        <w:tc>
          <w:tcPr>
            <w:tcW w:w="1483" w:type="dxa"/>
          </w:tcPr>
          <w:p>
            <w:r>
              <w:rPr>
                <w:sz w:val="19"/>
              </w:rPr>
              <w:t>0,85 – 0,94</w:t>
            </w:r>
          </w:p>
        </w:tc>
        <w:tc>
          <w:tcPr>
            <w:tcW w:w="1483" w:type="dxa"/>
          </w:tcPr>
          <w:p>
            <w:r>
              <w:rPr>
                <w:sz w:val="19"/>
              </w:rPr>
              <w:t>&lt; 0,85</w:t>
            </w:r>
          </w:p>
        </w:tc>
        <w:tc>
          <w:tcPr>
            <w:tcW w:w="1483" w:type="dxa"/>
          </w:tcPr>
          <w:p>
            <w:r>
              <w:rPr>
                <w:sz w:val="19"/>
              </w:rPr>
              <w:t>GP</w:t>
            </w:r>
          </w:p>
        </w:tc>
      </w:tr>
      <w:tr>
        <w:tc>
          <w:tcPr>
            <w:tcW w:w="1483" w:type="dxa"/>
            <w:shd w:val="clear" w:color="auto" w:fill="F0F5FB"/>
          </w:tcPr>
          <w:p>
            <w:r>
              <w:rPr>
                <w:sz w:val="19"/>
              </w:rPr>
              <w:t>CPI (Cost Performance Index)</w:t>
            </w:r>
          </w:p>
        </w:tc>
        <w:tc>
          <w:tcPr>
            <w:tcW w:w="1483" w:type="dxa"/>
            <w:shd w:val="clear" w:color="auto" w:fill="F0F5FB"/>
          </w:tcPr>
          <w:p>
            <w:r>
              <w:rPr>
                <w:sz w:val="19"/>
              </w:rPr>
              <w:t>EV / AC</w:t>
            </w:r>
          </w:p>
        </w:tc>
        <w:tc>
          <w:tcPr>
            <w:tcW w:w="1483" w:type="dxa"/>
            <w:shd w:val="clear" w:color="auto" w:fill="F0F5FB"/>
          </w:tcPr>
          <w:p>
            <w:r>
              <w:rPr>
                <w:sz w:val="19"/>
              </w:rPr>
              <w:t>1,00</w:t>
            </w:r>
          </w:p>
        </w:tc>
        <w:tc>
          <w:tcPr>
            <w:tcW w:w="1483" w:type="dxa"/>
            <w:shd w:val="clear" w:color="auto" w:fill="F0F5FB"/>
          </w:tcPr>
          <w:p>
            <w:r>
              <w:rPr>
                <w:sz w:val="19"/>
              </w:rPr>
              <w:t>0,85 – 0,94</w:t>
            </w:r>
          </w:p>
        </w:tc>
        <w:tc>
          <w:tcPr>
            <w:tcW w:w="1483" w:type="dxa"/>
            <w:shd w:val="clear" w:color="auto" w:fill="F0F5FB"/>
          </w:tcPr>
          <w:p>
            <w:r>
              <w:rPr>
                <w:sz w:val="19"/>
              </w:rPr>
              <w:t>&lt; 0,85</w:t>
            </w:r>
          </w:p>
        </w:tc>
        <w:tc>
          <w:tcPr>
            <w:tcW w:w="1483" w:type="dxa"/>
            <w:shd w:val="clear" w:color="auto" w:fill="F0F5FB"/>
          </w:tcPr>
          <w:p>
            <w:r>
              <w:rPr>
                <w:sz w:val="19"/>
              </w:rPr>
              <w:t>GP</w:t>
            </w:r>
          </w:p>
        </w:tc>
      </w:tr>
      <w:tr>
        <w:tc>
          <w:tcPr>
            <w:tcW w:w="1483" w:type="dxa"/>
          </w:tcPr>
          <w:p>
            <w:r>
              <w:rPr>
                <w:sz w:val="19"/>
              </w:rPr>
              <w:t>EAC (Estimate at Completion)</w:t>
            </w:r>
          </w:p>
        </w:tc>
        <w:tc>
          <w:tcPr>
            <w:tcW w:w="1483" w:type="dxa"/>
          </w:tcPr>
          <w:p>
            <w:r>
              <w:rPr>
                <w:sz w:val="19"/>
              </w:rPr>
              <w:t>BAC / CPI</w:t>
            </w:r>
          </w:p>
        </w:tc>
        <w:tc>
          <w:tcPr>
            <w:tcW w:w="1483" w:type="dxa"/>
          </w:tcPr>
          <w:p>
            <w:r>
              <w:rPr>
                <w:sz w:val="19"/>
              </w:rPr>
              <w:t>R$2.000</w:t>
            </w:r>
          </w:p>
        </w:tc>
        <w:tc>
          <w:tcPr>
            <w:tcW w:w="1483" w:type="dxa"/>
          </w:tcPr>
          <w:p>
            <w:r>
              <w:rPr>
                <w:sz w:val="19"/>
              </w:rPr>
              <w:t>R$2.001–R$2.350</w:t>
            </w:r>
          </w:p>
        </w:tc>
        <w:tc>
          <w:tcPr>
            <w:tcW w:w="1483" w:type="dxa"/>
          </w:tcPr>
          <w:p>
            <w:r>
              <w:rPr>
                <w:sz w:val="19"/>
              </w:rPr>
              <w:t>&gt; R$2.350</w:t>
            </w:r>
          </w:p>
        </w:tc>
        <w:tc>
          <w:tcPr>
            <w:tcW w:w="1483" w:type="dxa"/>
          </w:tcPr>
          <w:p>
            <w:r>
              <w:rPr>
                <w:sz w:val="19"/>
              </w:rPr>
              <w:t>GP</w:t>
            </w:r>
          </w:p>
        </w:tc>
      </w:tr>
      <w:tr>
        <w:tc>
          <w:tcPr>
            <w:tcW w:w="1483" w:type="dxa"/>
            <w:shd w:val="clear" w:color="auto" w:fill="F0F5FB"/>
          </w:tcPr>
          <w:p>
            <w:r>
              <w:rPr>
                <w:sz w:val="19"/>
              </w:rPr>
              <w:t>VAC (Variance at Completion)</w:t>
            </w:r>
          </w:p>
        </w:tc>
        <w:tc>
          <w:tcPr>
            <w:tcW w:w="1483" w:type="dxa"/>
            <w:shd w:val="clear" w:color="auto" w:fill="F0F5FB"/>
          </w:tcPr>
          <w:p>
            <w:r>
              <w:rPr>
                <w:sz w:val="19"/>
              </w:rPr>
              <w:t>BAC – EAC</w:t>
            </w:r>
          </w:p>
        </w:tc>
        <w:tc>
          <w:tcPr>
            <w:tcW w:w="1483" w:type="dxa"/>
            <w:shd w:val="clear" w:color="auto" w:fill="F0F5FB"/>
          </w:tcPr>
          <w:p>
            <w:r>
              <w:rPr>
                <w:sz w:val="19"/>
              </w:rPr>
              <w:t>R$0</w:t>
            </w:r>
          </w:p>
        </w:tc>
        <w:tc>
          <w:tcPr>
            <w:tcW w:w="1483" w:type="dxa"/>
            <w:shd w:val="clear" w:color="auto" w:fill="F0F5FB"/>
          </w:tcPr>
          <w:p>
            <w:r>
              <w:rPr>
                <w:sz w:val="19"/>
              </w:rPr>
              <w:t>-R$350 a -R$1</w:t>
            </w:r>
          </w:p>
        </w:tc>
        <w:tc>
          <w:tcPr>
            <w:tcW w:w="1483" w:type="dxa"/>
            <w:shd w:val="clear" w:color="auto" w:fill="F0F5FB"/>
          </w:tcPr>
          <w:p>
            <w:r>
              <w:rPr>
                <w:sz w:val="19"/>
              </w:rPr>
              <w:t>&lt; -R$350</w:t>
            </w:r>
          </w:p>
        </w:tc>
        <w:tc>
          <w:tcPr>
            <w:tcW w:w="1483" w:type="dxa"/>
            <w:shd w:val="clear" w:color="auto" w:fill="F0F5FB"/>
          </w:tcPr>
          <w:p>
            <w:r>
              <w:rPr>
                <w:sz w:val="19"/>
              </w:rPr>
              <w:t>GP</w:t>
            </w:r>
          </w:p>
        </w:tc>
      </w:tr>
      <w:tr>
        <w:tc>
          <w:tcPr>
            <w:tcW w:w="1483" w:type="dxa"/>
          </w:tcPr>
          <w:p>
            <w:r>
              <w:rPr>
                <w:sz w:val="19"/>
              </w:rPr>
              <w:t>% Conclusão</w:t>
            </w:r>
          </w:p>
        </w:tc>
        <w:tc>
          <w:tcPr>
            <w:tcW w:w="1483" w:type="dxa"/>
          </w:tcPr>
          <w:p>
            <w:r>
              <w:rPr>
                <w:sz w:val="19"/>
              </w:rPr>
              <w:t>Marcos concluídos / Total marcos</w:t>
            </w:r>
          </w:p>
        </w:tc>
        <w:tc>
          <w:tcPr>
            <w:tcW w:w="1483" w:type="dxa"/>
          </w:tcPr>
          <w:p>
            <w:r>
              <w:rPr>
                <w:sz w:val="19"/>
              </w:rPr>
              <w:t>0% (início)</w:t>
            </w:r>
          </w:p>
        </w:tc>
        <w:tc>
          <w:tcPr>
            <w:tcW w:w="1483" w:type="dxa"/>
          </w:tcPr>
          <w:p>
            <w:r>
              <w:rPr>
                <w:sz w:val="19"/>
              </w:rPr>
              <w:t>N/A</w:t>
            </w:r>
          </w:p>
        </w:tc>
        <w:tc>
          <w:tcPr>
            <w:tcW w:w="1483" w:type="dxa"/>
          </w:tcPr>
          <w:p>
            <w:r>
              <w:rPr>
                <w:sz w:val="19"/>
              </w:rPr>
              <w:t>N/A</w:t>
            </w:r>
          </w:p>
        </w:tc>
        <w:tc>
          <w:tcPr>
            <w:tcW w:w="1483" w:type="dxa"/>
          </w:tcPr>
          <w:p>
            <w:r>
              <w:rPr>
                <w:sz w:val="19"/>
              </w:rPr>
              <w:t>GP</w:t>
            </w:r>
          </w:p>
        </w:tc>
      </w:tr>
    </w:tbl>
    <w:p/>
    <w:p>
      <w:pPr>
        <w:ind w:left="454"/>
      </w:pPr>
      <w:r>
        <w:rPr>
          <w:color w:val="333333"/>
          <w:sz w:val="20"/>
        </w:rPr>
      </w:r>
      <w:r>
        <w:rPr>
          <w:b/>
          <w:color w:val="333333"/>
          <w:sz w:val="20"/>
        </w:rPr>
        <w:t>Nota:</w:t>
      </w:r>
      <w:r>
        <w:rPr>
          <w:color w:val="333333"/>
          <w:sz w:val="20"/>
        </w:rPr>
        <w:t xml:space="preserve"> Como o custo alvo é R$0 externo, o EVM monitora principalmente o prazo (SPI).</w:t>
      </w:r>
    </w:p>
    <w:p>
      <w:pPr>
        <w:ind w:left="454"/>
      </w:pPr>
      <w:r>
        <w:rPr>
          <w:color w:val="333333"/>
          <w:sz w:val="20"/>
        </w:rPr>
        <w:t>O CPI e EAC aplicam-se somente se a reserva de contingência (R$2.000) for acionada.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Configuração EVM</w:t>
      </w:r>
    </w:p>
    <w:p/>
    <w:tbl>
      <w:tblPr>
        <w:tblStyle w:val="TableGrid"/>
        <w:tblLook w:firstColumn="1" w:firstRow="1" w:lastColumn="0" w:lastRow="0" w:noHBand="0" w:noVBand="1" w:val="04A0"/>
        <w:tblW w:w="8900" w:type="dxa"/>
        <w:tblLayout w:type="fixed"/>
      </w:tblPr>
      <w:tblGrid>
        <w:gridCol w:w="4450"/>
        <w:gridCol w:w="4450"/>
      </w:tblGrid>
      <w:tr>
        <w:tc>
          <w:tcPr>
            <w:tcW w:w="445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Parâmetro</w:t>
            </w:r>
          </w:p>
        </w:tc>
        <w:tc>
          <w:tcPr>
            <w:tcW w:w="445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w="4450" w:type="dxa"/>
          </w:tcPr>
          <w:p>
            <w:r>
              <w:rPr>
                <w:sz w:val="19"/>
              </w:rPr>
              <w:t>BAC (Budget at Completion)</w:t>
            </w:r>
          </w:p>
        </w:tc>
        <w:tc>
          <w:tcPr>
            <w:tcW w:w="4450" w:type="dxa"/>
          </w:tcPr>
          <w:p>
            <w:r>
              <w:rPr>
                <w:sz w:val="19"/>
              </w:rPr>
              <w:t>R$2.000</w:t>
            </w:r>
          </w:p>
        </w:tc>
      </w:tr>
      <w:tr>
        <w:tc>
          <w:tcPr>
            <w:tcW w:w="4450" w:type="dxa"/>
            <w:shd w:val="clear" w:color="auto" w:fill="F0F5FB"/>
          </w:tcPr>
          <w:p>
            <w:r>
              <w:rPr>
                <w:sz w:val="19"/>
              </w:rPr>
              <w:t>Método de EV</w:t>
            </w:r>
          </w:p>
        </w:tc>
        <w:tc>
          <w:tcPr>
            <w:tcW w:w="4450" w:type="dxa"/>
            <w:shd w:val="clear" w:color="auto" w:fill="F0F5FB"/>
          </w:tcPr>
          <w:p>
            <w:r>
              <w:rPr>
                <w:sz w:val="19"/>
              </w:rPr>
              <w:t>Marcos binários — 100% somente quando o marco está 100% concluído</w:t>
            </w:r>
          </w:p>
        </w:tc>
      </w:tr>
      <w:tr>
        <w:tc>
          <w:tcPr>
            <w:tcW w:w="4450" w:type="dxa"/>
          </w:tcPr>
          <w:p>
            <w:r>
              <w:rPr>
                <w:sz w:val="19"/>
              </w:rPr>
              <w:t>Marcos totais</w:t>
            </w:r>
          </w:p>
        </w:tc>
        <w:tc>
          <w:tcPr>
            <w:tcW w:w="4450" w:type="dxa"/>
          </w:tcPr>
          <w:p>
            <w:r>
              <w:rPr>
                <w:sz w:val="19"/>
              </w:rPr>
              <w:t>6 (M-0 a M-6)</w:t>
            </w:r>
          </w:p>
        </w:tc>
      </w:tr>
      <w:tr>
        <w:tc>
          <w:tcPr>
            <w:tcW w:w="4450" w:type="dxa"/>
            <w:shd w:val="clear" w:color="auto" w:fill="F0F5FB"/>
          </w:tcPr>
          <w:p>
            <w:r>
              <w:rPr>
                <w:sz w:val="19"/>
              </w:rPr>
              <w:t>PV por marco</w:t>
            </w:r>
          </w:p>
        </w:tc>
        <w:tc>
          <w:tcPr>
            <w:tcW w:w="4450" w:type="dxa"/>
            <w:shd w:val="clear" w:color="auto" w:fill="F0F5FB"/>
          </w:tcPr>
          <w:p>
            <w:r>
              <w:rPr>
                <w:sz w:val="19"/>
              </w:rPr>
              <w:t>M-0: 0%; M-1: 17%; M-2: 30%; M-3: 55%; M-4: 70%; M-5: 85%; M-6: 100%</w:t>
            </w:r>
          </w:p>
        </w:tc>
      </w:tr>
      <w:tr>
        <w:tc>
          <w:tcPr>
            <w:tcW w:w="4450" w:type="dxa"/>
          </w:tcPr>
          <w:p>
            <w:r>
              <w:rPr>
                <w:sz w:val="19"/>
              </w:rPr>
              <w:t>Frequência de cálculo</w:t>
            </w:r>
          </w:p>
        </w:tc>
        <w:tc>
          <w:tcPr>
            <w:tcW w:w="4450" w:type="dxa"/>
          </w:tcPr>
          <w:p>
            <w:r>
              <w:rPr>
                <w:sz w:val="19"/>
              </w:rPr>
              <w:t>Quinzenal (em cada Status Report)</w:t>
            </w:r>
          </w:p>
        </w:tc>
      </w:tr>
      <w:tr>
        <w:tc>
          <w:tcPr>
            <w:tcW w:w="4450" w:type="dxa"/>
            <w:shd w:val="clear" w:color="auto" w:fill="F0F5FB"/>
          </w:tcPr>
          <w:p>
            <w:r>
              <w:rPr>
                <w:sz w:val="19"/>
              </w:rPr>
              <w:t>Custo horas internas</w:t>
            </w:r>
          </w:p>
        </w:tc>
        <w:tc>
          <w:tcPr>
            <w:tcW w:w="4450" w:type="dxa"/>
            <w:shd w:val="clear" w:color="auto" w:fill="F0F5FB"/>
          </w:tcPr>
          <w:p>
            <w:r>
              <w:rPr>
                <w:sz w:val="19"/>
              </w:rPr>
              <w:t>Não contabilizado no EVM (custo interno DTI — fora do BAC)</w:t>
            </w:r>
          </w:p>
        </w:tc>
      </w:tr>
    </w:tbl>
    <w:p/>
    <w:p>
      <w:r/>
      <w:r>
        <w:rPr>
          <w:b/>
        </w:rPr>
        <w:t>Tabela de valor planejado (PV) por marco:</w:t>
      </w:r>
      <w:r/>
    </w:p>
    <w:p/>
    <w:tbl>
      <w:tblPr>
        <w:tblStyle w:val="TableGrid"/>
        <w:tblLook w:firstColumn="1" w:firstRow="1" w:lastColumn="0" w:lastRow="0" w:noHBand="0" w:noVBand="1" w:val="04A0"/>
        <w:tblW w:w="8900" w:type="dxa"/>
        <w:tblLayout w:type="fixed"/>
      </w:tblPr>
      <w:tblGrid>
        <w:gridCol w:w="2225"/>
        <w:gridCol w:w="2225"/>
        <w:gridCol w:w="2225"/>
        <w:gridCol w:w="2225"/>
      </w:tblGrid>
      <w:tr>
        <w:tc>
          <w:tcPr>
            <w:tcW w:w="2225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Marco</w:t>
            </w:r>
          </w:p>
        </w:tc>
        <w:tc>
          <w:tcPr>
            <w:tcW w:w="2225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w="2225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% PV acumulado</w:t>
            </w:r>
          </w:p>
        </w:tc>
        <w:tc>
          <w:tcPr>
            <w:tcW w:w="2225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PV R$ (sobre BAC R$2.000)</w:t>
            </w:r>
          </w:p>
        </w:tc>
      </w:tr>
      <w:tr>
        <w:tc>
          <w:tcPr>
            <w:tcW w:w="2225" w:type="dxa"/>
          </w:tcPr>
          <w:p>
            <w:r>
              <w:rPr>
                <w:sz w:val="19"/>
              </w:rPr>
              <w:t>M-0 — Gate Kick-off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06/06/2026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0%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R$0</w:t>
            </w:r>
          </w:p>
        </w:tc>
      </w:tr>
      <w:tr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M-1 — Levantamento técnico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27/06/2026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17%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R$340</w:t>
            </w:r>
          </w:p>
        </w:tc>
      </w:tr>
      <w:tr>
        <w:tc>
          <w:tcPr>
            <w:tcW w:w="2225" w:type="dxa"/>
          </w:tcPr>
          <w:p>
            <w:r>
              <w:rPr>
                <w:sz w:val="19"/>
              </w:rPr>
              <w:t>M-2 — Habilitação Santander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18/07/2026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30%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R$600</w:t>
            </w:r>
          </w:p>
        </w:tc>
      </w:tr>
      <w:tr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M-3 — Config + testes homologação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08/08/2026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55%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R$1.100</w:t>
            </w:r>
          </w:p>
        </w:tc>
      </w:tr>
      <w:tr>
        <w:tc>
          <w:tcPr>
            <w:tcW w:w="2225" w:type="dxa"/>
          </w:tcPr>
          <w:p>
            <w:r>
              <w:rPr>
                <w:sz w:val="19"/>
              </w:rPr>
              <w:t>M-4 — UAT aprovado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15/08/2026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70%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R$1.400</w:t>
            </w:r>
          </w:p>
        </w:tc>
      </w:tr>
      <w:tr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M-5 — Go-live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25/08/2026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85%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R$1.700</w:t>
            </w:r>
          </w:p>
        </w:tc>
      </w:tr>
      <w:tr>
        <w:tc>
          <w:tcPr>
            <w:tcW w:w="2225" w:type="dxa"/>
          </w:tcPr>
          <w:p>
            <w:r>
              <w:rPr>
                <w:sz w:val="19"/>
              </w:rPr>
              <w:t>M-6 — Encerramento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30/09/2026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100%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R$2.000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KPIs de Resultado (vinculados aos Critérios de Sucesso do TAP)</w:t>
      </w:r>
    </w:p>
    <w:p/>
    <w:tbl>
      <w:tblPr>
        <w:tblStyle w:val="TableGrid"/>
        <w:tblLook w:firstColumn="1" w:firstRow="1" w:lastColumn="0" w:lastRow="0" w:noHBand="0" w:noVBand="1" w:val="04A0"/>
        <w:tblW w:w="8898" w:type="dxa"/>
        <w:tblLayout w:type="fixed"/>
      </w:tblPr>
      <w:tblGrid>
        <w:gridCol w:w="1483"/>
        <w:gridCol w:w="1483"/>
        <w:gridCol w:w="1483"/>
        <w:gridCol w:w="1483"/>
        <w:gridCol w:w="1483"/>
        <w:gridCol w:w="1483"/>
      </w:tblGrid>
      <w:tr>
        <w:tc>
          <w:tcPr>
            <w:tcW w:w="1483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w="1483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Critério de Sucesso</w:t>
            </w:r>
          </w:p>
        </w:tc>
        <w:tc>
          <w:tcPr>
            <w:tcW w:w="1483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Meta</w:t>
            </w:r>
          </w:p>
        </w:tc>
        <w:tc>
          <w:tcPr>
            <w:tcW w:w="1483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Limiar Mínimo</w:t>
            </w:r>
          </w:p>
        </w:tc>
        <w:tc>
          <w:tcPr>
            <w:tcW w:w="1483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Quando Medir</w:t>
            </w:r>
          </w:p>
        </w:tc>
        <w:tc>
          <w:tcPr>
            <w:tcW w:w="1483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Responsável</w:t>
            </w:r>
          </w:p>
        </w:tc>
      </w:tr>
      <w:tr>
        <w:tc>
          <w:tcPr>
            <w:tcW w:w="1483" w:type="dxa"/>
          </w:tcPr>
          <w:p>
            <w:r>
              <w:rPr>
                <w:sz w:val="19"/>
              </w:rPr>
              <w:t>KR-1 Taxa de automação DDA</w:t>
            </w:r>
          </w:p>
        </w:tc>
        <w:tc>
          <w:tcPr>
            <w:tcW w:w="1483" w:type="dxa"/>
          </w:tcPr>
          <w:p>
            <w:r>
              <w:rPr>
                <w:sz w:val="19"/>
              </w:rPr>
              <w:t>CS-1: 100% boletos DDA sem digitação manual</w:t>
            </w:r>
          </w:p>
        </w:tc>
        <w:tc>
          <w:tcPr>
            <w:tcW w:w="1483" w:type="dxa"/>
          </w:tcPr>
          <w:p>
            <w:r>
              <w:rPr>
                <w:sz w:val="19"/>
              </w:rPr>
              <w:t>100%</w:t>
            </w:r>
          </w:p>
        </w:tc>
        <w:tc>
          <w:tcPr>
            <w:tcW w:w="1483" w:type="dxa"/>
          </w:tcPr>
          <w:p>
            <w:r>
              <w:rPr>
                <w:sz w:val="19"/>
              </w:rPr>
              <w:t>≥ 99%</w:t>
            </w:r>
          </w:p>
        </w:tc>
        <w:tc>
          <w:tcPr>
            <w:tcW w:w="1483" w:type="dxa"/>
          </w:tcPr>
          <w:p>
            <w:r>
              <w:rPr>
                <w:sz w:val="19"/>
              </w:rPr>
              <w:t>30 dias pós-go-live</w:t>
            </w:r>
          </w:p>
        </w:tc>
        <w:tc>
          <w:tcPr>
            <w:tcW w:w="1483" w:type="dxa"/>
          </w:tcPr>
          <w:p>
            <w:r>
              <w:rPr>
                <w:sz w:val="19"/>
              </w:rPr>
              <w:t>GP + DTI FI</w:t>
            </w:r>
          </w:p>
        </w:tc>
      </w:tr>
      <w:tr>
        <w:tc>
          <w:tcPr>
            <w:tcW w:w="1483" w:type="dxa"/>
            <w:shd w:val="clear" w:color="auto" w:fill="F0F5FB"/>
          </w:tcPr>
          <w:p>
            <w:r>
              <w:rPr>
                <w:sz w:val="19"/>
              </w:rPr>
              <w:t>KR-2 Incidentes por ausência de boleto</w:t>
            </w:r>
          </w:p>
        </w:tc>
        <w:tc>
          <w:tcPr>
            <w:tcW w:w="1483" w:type="dxa"/>
            <w:shd w:val="clear" w:color="auto" w:fill="F0F5FB"/>
          </w:tcPr>
          <w:p>
            <w:r>
              <w:rPr>
                <w:sz w:val="19"/>
              </w:rPr>
              <w:t>CS-2: Zero atrasos por ausência de boleto digital</w:t>
            </w:r>
          </w:p>
        </w:tc>
        <w:tc>
          <w:tcPr>
            <w:tcW w:w="1483" w:type="dxa"/>
            <w:shd w:val="clear" w:color="auto" w:fill="F0F5FB"/>
          </w:tcPr>
          <w:p>
            <w:r>
              <w:rPr>
                <w:sz w:val="19"/>
              </w:rPr>
              <w:t>0 ocorrências/mês</w:t>
            </w:r>
          </w:p>
        </w:tc>
        <w:tc>
          <w:tcPr>
            <w:tcW w:w="1483" w:type="dxa"/>
            <w:shd w:val="clear" w:color="auto" w:fill="F0F5FB"/>
          </w:tcPr>
          <w:p>
            <w:r>
              <w:rPr>
                <w:sz w:val="19"/>
              </w:rPr>
              <w:t>≤ 1 por mês</w:t>
            </w:r>
          </w:p>
        </w:tc>
        <w:tc>
          <w:tcPr>
            <w:tcW w:w="1483" w:type="dxa"/>
            <w:shd w:val="clear" w:color="auto" w:fill="F0F5FB"/>
          </w:tcPr>
          <w:p>
            <w:r>
              <w:rPr>
                <w:sz w:val="19"/>
              </w:rPr>
              <w:t>60 dias pós-go-live</w:t>
            </w:r>
          </w:p>
        </w:tc>
        <w:tc>
          <w:tcPr>
            <w:tcW w:w="1483" w:type="dxa"/>
            <w:shd w:val="clear" w:color="auto" w:fill="F0F5FB"/>
          </w:tcPr>
          <w:p>
            <w:r>
              <w:rPr>
                <w:sz w:val="19"/>
              </w:rPr>
              <w:t>Noemia / CP</w:t>
            </w:r>
          </w:p>
        </w:tc>
      </w:tr>
      <w:tr>
        <w:tc>
          <w:tcPr>
            <w:tcW w:w="1483" w:type="dxa"/>
          </w:tcPr>
          <w:p>
            <w:r>
              <w:rPr>
                <w:sz w:val="19"/>
              </w:rPr>
              <w:t>KR-3 Satisfação equipe CP</w:t>
            </w:r>
          </w:p>
        </w:tc>
        <w:tc>
          <w:tcPr>
            <w:tcW w:w="1483" w:type="dxa"/>
          </w:tcPr>
          <w:p>
            <w:r>
              <w:rPr>
                <w:sz w:val="19"/>
              </w:rPr>
              <w:t>CS-3: ≥ 8/10 na pesquisa pós-implantação</w:t>
            </w:r>
          </w:p>
        </w:tc>
        <w:tc>
          <w:tcPr>
            <w:tcW w:w="1483" w:type="dxa"/>
          </w:tcPr>
          <w:p>
            <w:r>
              <w:rPr>
                <w:sz w:val="19"/>
              </w:rPr>
              <w:t>≥ 8,0/10</w:t>
            </w:r>
          </w:p>
        </w:tc>
        <w:tc>
          <w:tcPr>
            <w:tcW w:w="1483" w:type="dxa"/>
          </w:tcPr>
          <w:p>
            <w:r>
              <w:rPr>
                <w:sz w:val="19"/>
              </w:rPr>
              <w:t>≥ 7,0/10</w:t>
            </w:r>
          </w:p>
        </w:tc>
        <w:tc>
          <w:tcPr>
            <w:tcW w:w="1483" w:type="dxa"/>
          </w:tcPr>
          <w:p>
            <w:r>
              <w:rPr>
                <w:sz w:val="19"/>
              </w:rPr>
              <w:t>30 dias pós-go-live</w:t>
            </w:r>
          </w:p>
        </w:tc>
        <w:tc>
          <w:tcPr>
            <w:tcW w:w="1483" w:type="dxa"/>
          </w:tcPr>
          <w:p>
            <w:r>
              <w:rPr>
                <w:sz w:val="19"/>
              </w:rPr>
              <w:t>GP</w:t>
            </w:r>
          </w:p>
        </w:tc>
      </w:tr>
      <w:tr>
        <w:tc>
          <w:tcPr>
            <w:tcW w:w="1483" w:type="dxa"/>
            <w:shd w:val="clear" w:color="auto" w:fill="F0F5FB"/>
          </w:tcPr>
          <w:p>
            <w:r>
              <w:rPr>
                <w:sz w:val="19"/>
              </w:rPr>
              <w:t>KR-4 Prazo de go-live</w:t>
            </w:r>
          </w:p>
        </w:tc>
        <w:tc>
          <w:tcPr>
            <w:tcW w:w="1483" w:type="dxa"/>
            <w:shd w:val="clear" w:color="auto" w:fill="F0F5FB"/>
          </w:tcPr>
          <w:p>
            <w:r>
              <w:rPr>
                <w:sz w:val="19"/>
              </w:rPr>
              <w:t>CS-4: Go-live até 30/09/2026</w:t>
            </w:r>
          </w:p>
        </w:tc>
        <w:tc>
          <w:tcPr>
            <w:tcW w:w="1483" w:type="dxa"/>
            <w:shd w:val="clear" w:color="auto" w:fill="F0F5FB"/>
          </w:tcPr>
          <w:p>
            <w:r>
              <w:rPr>
                <w:sz w:val="19"/>
              </w:rPr>
              <w:t>30/09/2026</w:t>
            </w:r>
          </w:p>
        </w:tc>
        <w:tc>
          <w:tcPr>
            <w:tcW w:w="1483" w:type="dxa"/>
            <w:shd w:val="clear" w:color="auto" w:fill="F0F5FB"/>
          </w:tcPr>
          <w:p>
            <w:r>
              <w:rPr>
                <w:sz w:val="19"/>
              </w:rPr>
              <w:t>≤ 14/10/2026</w:t>
            </w:r>
          </w:p>
        </w:tc>
        <w:tc>
          <w:tcPr>
            <w:tcW w:w="1483" w:type="dxa"/>
            <w:shd w:val="clear" w:color="auto" w:fill="F0F5FB"/>
          </w:tcPr>
          <w:p>
            <w:r>
              <w:rPr>
                <w:sz w:val="19"/>
              </w:rPr>
              <w:t>Data do go-live</w:t>
            </w:r>
          </w:p>
        </w:tc>
        <w:tc>
          <w:tcPr>
            <w:tcW w:w="1483" w:type="dxa"/>
            <w:shd w:val="clear" w:color="auto" w:fill="F0F5FB"/>
          </w:tcPr>
          <w:p>
            <w:r>
              <w:rPr>
                <w:sz w:val="19"/>
              </w:rPr>
              <w:t>GP</w:t>
            </w:r>
          </w:p>
        </w:tc>
      </w:tr>
      <w:tr>
        <w:tc>
          <w:tcPr>
            <w:tcW w:w="1483" w:type="dxa"/>
          </w:tcPr>
          <w:p>
            <w:r>
              <w:rPr>
                <w:sz w:val="19"/>
              </w:rPr>
              <w:t>KR-5 Tempo de processamento arquivo DDA</w:t>
            </w:r>
          </w:p>
        </w:tc>
        <w:tc>
          <w:tcPr>
            <w:tcW w:w="1483" w:type="dxa"/>
          </w:tcPr>
          <w:p>
            <w:r>
              <w:rPr>
                <w:sz w:val="19"/>
              </w:rPr>
              <w:t>RNF-002: ≤ 30 min para arquivo com até 500 boletos</w:t>
            </w:r>
          </w:p>
        </w:tc>
        <w:tc>
          <w:tcPr>
            <w:tcW w:w="1483" w:type="dxa"/>
          </w:tcPr>
          <w:p>
            <w:r>
              <w:rPr>
                <w:sz w:val="19"/>
              </w:rPr>
              <w:t>≤ 30 min</w:t>
            </w:r>
          </w:p>
        </w:tc>
        <w:tc>
          <w:tcPr>
            <w:tcW w:w="1483" w:type="dxa"/>
          </w:tcPr>
          <w:p>
            <w:r>
              <w:rPr>
                <w:sz w:val="19"/>
              </w:rPr>
              <w:t>≤ 60 min</w:t>
            </w:r>
          </w:p>
        </w:tc>
        <w:tc>
          <w:tcPr>
            <w:tcW w:w="1483" w:type="dxa"/>
          </w:tcPr>
          <w:p>
            <w:r>
              <w:rPr>
                <w:sz w:val="19"/>
              </w:rPr>
              <w:t>Semana 1 em produção</w:t>
            </w:r>
          </w:p>
        </w:tc>
        <w:tc>
          <w:tcPr>
            <w:tcW w:w="1483" w:type="dxa"/>
          </w:tcPr>
          <w:p>
            <w:r>
              <w:rPr>
                <w:sz w:val="19"/>
              </w:rPr>
              <w:t>DTI FI</w:t>
            </w:r>
          </w:p>
        </w:tc>
      </w:tr>
      <w:tr>
        <w:tc>
          <w:tcPr>
            <w:tcW w:w="1483" w:type="dxa"/>
            <w:shd w:val="clear" w:color="auto" w:fill="F0F5FB"/>
          </w:tcPr>
          <w:p>
            <w:r>
              <w:rPr>
                <w:sz w:val="19"/>
              </w:rPr>
              <w:t>KR-6 Disponibilidade DDA</w:t>
            </w:r>
          </w:p>
        </w:tc>
        <w:tc>
          <w:tcPr>
            <w:tcW w:w="1483" w:type="dxa"/>
            <w:shd w:val="clear" w:color="auto" w:fill="F0F5FB"/>
          </w:tcPr>
          <w:p>
            <w:r>
              <w:rPr>
                <w:sz w:val="19"/>
              </w:rPr>
              <w:t>RNF-001: ≥ 99,5% em horário bancário</w:t>
            </w:r>
          </w:p>
        </w:tc>
        <w:tc>
          <w:tcPr>
            <w:tcW w:w="1483" w:type="dxa"/>
            <w:shd w:val="clear" w:color="auto" w:fill="F0F5FB"/>
          </w:tcPr>
          <w:p>
            <w:r>
              <w:rPr>
                <w:sz w:val="19"/>
              </w:rPr>
              <w:t>99,5%</w:t>
            </w:r>
          </w:p>
        </w:tc>
        <w:tc>
          <w:tcPr>
            <w:tcW w:w="1483" w:type="dxa"/>
            <w:shd w:val="clear" w:color="auto" w:fill="F0F5FB"/>
          </w:tcPr>
          <w:p>
            <w:r>
              <w:rPr>
                <w:sz w:val="19"/>
              </w:rPr>
              <w:t>98%</w:t>
            </w:r>
          </w:p>
        </w:tc>
        <w:tc>
          <w:tcPr>
            <w:tcW w:w="1483" w:type="dxa"/>
            <w:shd w:val="clear" w:color="auto" w:fill="F0F5FB"/>
          </w:tcPr>
          <w:p>
            <w:r>
              <w:rPr>
                <w:sz w:val="19"/>
              </w:rPr>
              <w:t>Primeiro mês em produção</w:t>
            </w:r>
          </w:p>
        </w:tc>
        <w:tc>
          <w:tcPr>
            <w:tcW w:w="1483" w:type="dxa"/>
            <w:shd w:val="clear" w:color="auto" w:fill="F0F5FB"/>
          </w:tcPr>
          <w:p>
            <w:r>
              <w:rPr>
                <w:sz w:val="19"/>
              </w:rPr>
              <w:t>DTI FI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Semáforo de Saúde do Projeto</w:t>
      </w:r>
    </w:p>
    <w:p/>
    <w:tbl>
      <w:tblPr>
        <w:tblStyle w:val="TableGrid"/>
        <w:tblLook w:firstColumn="1" w:firstRow="1" w:lastColumn="0" w:lastRow="0" w:noHBand="0" w:noVBand="1" w:val="04A0"/>
        <w:tblW w:w="8900" w:type="dxa"/>
        <w:tblLayout w:type="fixed"/>
      </w:tblPr>
      <w:tblGrid>
        <w:gridCol w:w="2225"/>
        <w:gridCol w:w="2225"/>
        <w:gridCol w:w="2225"/>
        <w:gridCol w:w="2225"/>
      </w:tblGrid>
      <w:tr>
        <w:tc>
          <w:tcPr>
            <w:tcW w:w="2225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Dimensão</w:t>
            </w:r>
          </w:p>
        </w:tc>
        <w:tc>
          <w:tcPr>
            <w:tcW w:w="2225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🟢 Verde</w:t>
            </w:r>
          </w:p>
        </w:tc>
        <w:tc>
          <w:tcPr>
            <w:tcW w:w="2225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🟡 Amarelo</w:t>
            </w:r>
          </w:p>
        </w:tc>
        <w:tc>
          <w:tcPr>
            <w:tcW w:w="2225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🔴 Vermelho</w:t>
            </w:r>
          </w:p>
        </w:tc>
      </w:tr>
      <w:tr>
        <w:tc>
          <w:tcPr>
            <w:tcW w:w="2225" w:type="dxa"/>
          </w:tcPr>
          <w:p>
            <w:r>
              <w:rPr>
                <w:sz w:val="19"/>
              </w:rPr>
              <w:t>Cronograma (SPI)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≥ 0,95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0,85 – 0,94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&lt; 0,85</w:t>
            </w:r>
          </w:p>
        </w:tc>
      </w:tr>
      <w:tr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Custo (CPI)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≥ 0,95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0,85 – 0,94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&lt; 0,85</w:t>
            </w:r>
          </w:p>
        </w:tc>
      </w:tr>
      <w:tr>
        <w:tc>
          <w:tcPr>
            <w:tcW w:w="2225" w:type="dxa"/>
          </w:tcPr>
          <w:p>
            <w:r>
              <w:rPr>
                <w:sz w:val="19"/>
              </w:rPr>
              <w:t>Escopo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Sem mudanças não controladas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1 CR em análise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&gt; 1 CR ou CR crítico</w:t>
            </w:r>
          </w:p>
        </w:tc>
      </w:tr>
      <w:tr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Riscos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Todos sob controle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1 risco ALTO ativo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1+ risco CRÍTICO ativo ou R-001/R-002 materializados</w:t>
            </w:r>
          </w:p>
        </w:tc>
      </w:tr>
      <w:tr>
        <w:tc>
          <w:tcPr>
            <w:tcW w:w="2225" w:type="dxa"/>
          </w:tcPr>
          <w:p>
            <w:r>
              <w:rPr>
                <w:sz w:val="19"/>
              </w:rPr>
              <w:t>Governança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CBs resolvidas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1 CB em prazo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CB vencida sem resolução</w:t>
            </w:r>
          </w:p>
        </w:tc>
      </w:tr>
      <w:tr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Resultado (pós go-live)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KR-1 = 100%; KR-2 = 0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KR-1 ≥ 95%; KR-2 ≤ 2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KR-1 &lt; 95%; KR-2 &gt; 2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KPIs de Gestão de Riscos</w:t>
      </w:r>
    </w:p>
    <w:p/>
    <w:tbl>
      <w:tblPr>
        <w:tblStyle w:val="TableGrid"/>
        <w:tblLook w:firstColumn="1" w:firstRow="1" w:lastColumn="0" w:lastRow="0" w:noHBand="0" w:noVBand="1" w:val="04A0"/>
        <w:tblW w:w="8900" w:type="dxa"/>
        <w:tblLayout w:type="fixed"/>
      </w:tblPr>
      <w:tblGrid>
        <w:gridCol w:w="2225"/>
        <w:gridCol w:w="2225"/>
        <w:gridCol w:w="2225"/>
        <w:gridCol w:w="2225"/>
      </w:tblGrid>
      <w:tr>
        <w:tc>
          <w:tcPr>
            <w:tcW w:w="2225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w="2225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Meta</w:t>
            </w:r>
          </w:p>
        </w:tc>
        <w:tc>
          <w:tcPr>
            <w:tcW w:w="2225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Limiar</w:t>
            </w:r>
          </w:p>
        </w:tc>
        <w:tc>
          <w:tcPr>
            <w:tcW w:w="2225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Quando</w:t>
            </w:r>
          </w:p>
        </w:tc>
      </w:tr>
      <w:tr>
        <w:tc>
          <w:tcPr>
            <w:tcW w:w="2225" w:type="dxa"/>
          </w:tcPr>
          <w:p>
            <w:r>
              <w:rPr>
                <w:sz w:val="19"/>
              </w:rPr>
              <w:t>Riscos CRÍTICOS ativos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0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≤ 0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Contínuo</w:t>
            </w:r>
          </w:p>
        </w:tc>
      </w:tr>
      <w:tr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Riscos ALTOS ativos sem plano de resposta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0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≤ 0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Quinzenal</w:t>
            </w:r>
          </w:p>
        </w:tc>
      </w:tr>
      <w:tr>
        <w:tc>
          <w:tcPr>
            <w:tcW w:w="2225" w:type="dxa"/>
          </w:tcPr>
          <w:p>
            <w:r>
              <w:rPr>
                <w:sz w:val="19"/>
              </w:rPr>
              <w:t>% riscos com trigger definido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100%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≥ 100%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Por revisão</w:t>
            </w:r>
          </w:p>
        </w:tc>
      </w:tr>
      <w:tr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R-001 (autorização Holding): status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Resolvido antes do kick-off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Resolvido em M-0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Gate kick-off</w:t>
            </w:r>
          </w:p>
        </w:tc>
      </w:tr>
      <w:tr>
        <w:tc>
          <w:tcPr>
            <w:tcW w:w="2225" w:type="dxa"/>
          </w:tcPr>
          <w:p>
            <w:r>
              <w:rPr>
                <w:sz w:val="19"/>
              </w:rPr>
              <w:t>R-002 (ajustes ABAP): status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Confirmado como parametrização em M-1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Confirmado em M-1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Gate M-1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Pesquisa de Satisfação — Template</w:t>
      </w:r>
    </w:p>
    <w:p/>
    <w:p>
      <w:r>
        <w:t>A pesquisa será aplicada 30 dias após o go-live (KR-3):</w:t>
      </w:r>
    </w:p>
    <w:p/>
    <w:p>
      <w:r/>
      <w:r>
        <w:rPr>
          <w:b/>
        </w:rPr>
        <w:t>Bloco 1 — NPS</w:t>
      </w:r>
      <w:r/>
    </w:p>
    <w:p>
      <w:pPr>
        <w:pStyle w:val="ListBullet"/>
      </w:pPr>
      <w:r>
        <w:t>Em uma escala de 0 a 10, qual a probabilidade de você recomendar o novo processo de DDA a um colega de outra divisão?</w:t>
      </w:r>
    </w:p>
    <w:p/>
    <w:p>
      <w:r/>
      <w:r>
        <w:rPr>
          <w:b/>
        </w:rPr>
        <w:t>Bloco 2 — Percepção do resultado</w:t>
      </w:r>
      <w:r/>
    </w:p>
    <w:p>
      <w:pPr>
        <w:pStyle w:val="ListBullet"/>
      </w:pPr>
      <w:r>
        <w:t>O processo de recebimento de boletos melhorou com a implantação do DDA? (1 = Muito pior / 10 = Muito melhor)</w:t>
      </w:r>
    </w:p>
    <w:p>
      <w:pPr>
        <w:pStyle w:val="ListBullet"/>
      </w:pPr>
      <w:r>
        <w:t>Você ainda precisa digitar manualmente algum código de barras? (Sim / Não / Às vezes)</w:t>
      </w:r>
    </w:p>
    <w:p>
      <w:pPr>
        <w:pStyle w:val="ListBullet"/>
      </w:pPr>
      <w:r>
        <w:t>O processo de obtenção de boletos eliminou a dependência de terceiros? (1 = Não mudou / 10 = Totalmente eliminada)</w:t>
      </w:r>
    </w:p>
    <w:p/>
    <w:p>
      <w:r/>
      <w:r>
        <w:rPr>
          <w:b/>
        </w:rPr>
        <w:t>Bloco 3 — Qualitativo</w:t>
      </w:r>
      <w:r/>
    </w:p>
    <w:p>
      <w:pPr>
        <w:pStyle w:val="ListBullet"/>
      </w:pPr>
      <w:r>
        <w:t>Qual foi o maior benefício percebido no novo processo?</w:t>
      </w:r>
    </w:p>
    <w:p>
      <w:pPr>
        <w:pStyle w:val="ListBullet"/>
      </w:pPr>
      <w:r>
        <w:t>Há algo que ainda poderia ser melhorado?</w:t>
      </w:r>
    </w:p>
    <w:p/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