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i w:val="0"/>
          <w:color w:val="1A3A5C"/>
          <w:sz w:val="30"/>
        </w:rPr>
        <w:t>Plano de Gestão de Riscos — DEM-2026-007</w:t>
      </w:r>
    </w:p>
    <w:p>
      <w:r>
        <w:t>Projeto: Implantação DDA SAP — VAB Matriz</w:t>
      </w:r>
    </w:p>
    <w:p>
      <w:r>
        <w:t>Elaborado por: Pedro Perigo (VMO Autônomo)</w:t>
      </w:r>
    </w:p>
    <w:p>
      <w:r>
        <w:t>Data: 2026-05-20</w:t>
      </w:r>
    </w:p>
    <w:p>
      <w:r>
        <w:t>Versão: 1.0</w:t>
      </w:r>
    </w:p>
    <w:p/>
    <w:p>
      <w:r>
        <w:t>Escala de Probabilidade: BAIXA (1–3) / MÉDIA (4–6) / ALTA (7–9) | 1–9</w:t>
      </w:r>
    </w:p>
    <w:p>
      <w:r>
        <w:t>Escala de Impacto: BAIXO (1–3) / MÉDIO (4–6) / ALTO (7–9) | 1–9</w:t>
      </w:r>
    </w:p>
    <w:p>
      <w:r>
        <w:t>Score = Probabilidade × Impacto | Nível: CRÍTICO (≥49) / ALTO (25–48) / MÉDIO (10–24) / BAIXO (&lt;10)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Registro de Riscos</w:t>
      </w:r>
    </w:p>
    <w:p/>
    <w:tbl>
      <w:tblPr>
        <w:tblStyle w:val="TableGrid"/>
        <w:tblLook w:firstColumn="1" w:firstRow="1" w:lastColumn="0" w:lastRow="0" w:noHBand="0" w:noVBand="1" w:val="04A0"/>
        <w:tblW w:w="8898" w:type="dxa"/>
        <w:tblLayout w:type="fixed"/>
      </w:tblPr>
      <w:tblGrid>
        <w:gridCol w:w="1020"/>
        <w:gridCol w:w="1313"/>
        <w:gridCol w:w="1313"/>
        <w:gridCol w:w="1313"/>
        <w:gridCol w:w="1313"/>
        <w:gridCol w:w="1313"/>
        <w:gridCol w:w="1313"/>
      </w:tblGrid>
      <w:tr>
        <w:tc>
          <w:tcPr>
            <w:tcW w:w="1020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1313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Categoria</w:t>
            </w:r>
          </w:p>
        </w:tc>
        <w:tc>
          <w:tcPr>
            <w:tcW w:w="1313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Descrição</w:t>
            </w:r>
          </w:p>
        </w:tc>
        <w:tc>
          <w:tcPr>
            <w:tcW w:w="1313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P</w:t>
            </w:r>
          </w:p>
        </w:tc>
        <w:tc>
          <w:tcPr>
            <w:tcW w:w="1313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I</w:t>
            </w:r>
          </w:p>
        </w:tc>
        <w:tc>
          <w:tcPr>
            <w:tcW w:w="1313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Score</w:t>
            </w:r>
          </w:p>
        </w:tc>
        <w:tc>
          <w:tcPr>
            <w:tcW w:w="1313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Nível</w:t>
            </w:r>
          </w:p>
        </w:tc>
      </w:tr>
      <w:tr>
        <w:tc>
          <w:tcPr>
            <w:tcW w:w="1020" w:type="dxa"/>
          </w:tcPr>
          <w:p>
            <w:r>
              <w:rPr>
                <w:sz w:val="19"/>
              </w:rPr>
              <w:t>R-001</w:t>
            </w:r>
          </w:p>
        </w:tc>
        <w:tc>
          <w:tcPr>
            <w:tcW w:w="1313" w:type="dxa"/>
          </w:tcPr>
          <w:p>
            <w:r>
              <w:rPr>
                <w:sz w:val="19"/>
              </w:rPr>
              <w:t>Governança</w:t>
            </w:r>
          </w:p>
        </w:tc>
        <w:tc>
          <w:tcPr>
            <w:tcW w:w="1313" w:type="dxa"/>
          </w:tcPr>
          <w:p>
            <w:r>
              <w:rPr>
                <w:sz w:val="19"/>
              </w:rPr>
              <w:t>Autorização do Holding (Walace Bacelar) torna-se inválida se houver qualquer custo externo — kickoff precisa ser sustado e autorização renegociada</w:t>
            </w:r>
          </w:p>
        </w:tc>
        <w:tc>
          <w:tcPr>
            <w:tcW w:w="1313" w:type="dxa"/>
          </w:tcPr>
          <w:p>
            <w:r>
              <w:rPr>
                <w:sz w:val="19"/>
              </w:rPr>
              <w:t>7</w:t>
            </w:r>
          </w:p>
        </w:tc>
        <w:tc>
          <w:tcPr>
            <w:tcW w:w="1313" w:type="dxa"/>
          </w:tcPr>
          <w:p>
            <w:r>
              <w:rPr>
                <w:sz w:val="19"/>
              </w:rPr>
              <w:t>8</w:t>
            </w:r>
          </w:p>
        </w:tc>
        <w:tc>
          <w:tcPr>
            <w:tcW w:w="1313" w:type="dxa"/>
          </w:tcPr>
          <w:p>
            <w:r>
              <w:rPr>
                <w:sz w:val="19"/>
              </w:rPr>
              <w:t>56</w:t>
            </w:r>
          </w:p>
        </w:tc>
        <w:tc>
          <w:tcPr>
            <w:tcW w:w="1313" w:type="dxa"/>
          </w:tcPr>
          <w:p>
            <w:r>
              <w:rPr>
                <w:sz w:val="19"/>
              </w:rPr>
              <w:t>CRÍTICO</w:t>
            </w:r>
          </w:p>
        </w:tc>
      </w:tr>
      <w:tr>
        <w:tc>
          <w:tcPr>
            <w:tcW w:w="1020" w:type="dxa"/>
            <w:shd w:val="clear" w:color="auto" w:fill="F0F5FB"/>
          </w:tcPr>
          <w:p>
            <w:r>
              <w:rPr>
                <w:sz w:val="19"/>
              </w:rPr>
              <w:t>R-002</w:t>
            </w:r>
          </w:p>
        </w:tc>
        <w:tc>
          <w:tcPr>
            <w:tcW w:w="1313" w:type="dxa"/>
            <w:shd w:val="clear" w:color="auto" w:fill="F0F5FB"/>
          </w:tcPr>
          <w:p>
            <w:r>
              <w:rPr>
                <w:sz w:val="19"/>
              </w:rPr>
              <w:t>Técnico</w:t>
            </w:r>
          </w:p>
        </w:tc>
        <w:tc>
          <w:tcPr>
            <w:tcW w:w="1313" w:type="dxa"/>
            <w:shd w:val="clear" w:color="auto" w:fill="F0F5FB"/>
          </w:tcPr>
          <w:p>
            <w:r>
              <w:rPr>
                <w:sz w:val="19"/>
              </w:rPr>
              <w:t>"Ajustes necessários" (CB-2) revelam-se mais complexos que parametrização, exigindo desenvolvimento ABAP novo — reclassificação para PROJETO e novo ciclo de planejamento</w:t>
            </w:r>
          </w:p>
        </w:tc>
        <w:tc>
          <w:tcPr>
            <w:tcW w:w="1313" w:type="dxa"/>
            <w:shd w:val="clear" w:color="auto" w:fill="F0F5FB"/>
          </w:tcPr>
          <w:p>
            <w:r>
              <w:rPr>
                <w:sz w:val="19"/>
              </w:rPr>
              <w:t>5</w:t>
            </w:r>
          </w:p>
        </w:tc>
        <w:tc>
          <w:tcPr>
            <w:tcW w:w="1313" w:type="dxa"/>
            <w:shd w:val="clear" w:color="auto" w:fill="F0F5FB"/>
          </w:tcPr>
          <w:p>
            <w:r>
              <w:rPr>
                <w:sz w:val="19"/>
              </w:rPr>
              <w:t>8</w:t>
            </w:r>
          </w:p>
        </w:tc>
        <w:tc>
          <w:tcPr>
            <w:tcW w:w="1313" w:type="dxa"/>
            <w:shd w:val="clear" w:color="auto" w:fill="F0F5FB"/>
          </w:tcPr>
          <w:p>
            <w:r>
              <w:rPr>
                <w:sz w:val="19"/>
              </w:rPr>
              <w:t>40</w:t>
            </w:r>
          </w:p>
        </w:tc>
        <w:tc>
          <w:tcPr>
            <w:tcW w:w="1313" w:type="dxa"/>
            <w:shd w:val="clear" w:color="auto" w:fill="F0F5FB"/>
          </w:tcPr>
          <w:p>
            <w:r>
              <w:rPr>
                <w:sz w:val="19"/>
              </w:rPr>
              <w:t>ALTO</w:t>
            </w:r>
          </w:p>
        </w:tc>
      </w:tr>
      <w:tr>
        <w:tc>
          <w:tcPr>
            <w:tcW w:w="1020" w:type="dxa"/>
          </w:tcPr>
          <w:p>
            <w:r>
              <w:rPr>
                <w:sz w:val="19"/>
              </w:rPr>
              <w:t>R-003</w:t>
            </w:r>
          </w:p>
        </w:tc>
        <w:tc>
          <w:tcPr>
            <w:tcW w:w="1313" w:type="dxa"/>
          </w:tcPr>
          <w:p>
            <w:r>
              <w:rPr>
                <w:sz w:val="19"/>
              </w:rPr>
              <w:t>Externo</w:t>
            </w:r>
          </w:p>
        </w:tc>
        <w:tc>
          <w:tcPr>
            <w:tcW w:w="1313" w:type="dxa"/>
          </w:tcPr>
          <w:p>
            <w:r>
              <w:rPr>
                <w:sz w:val="19"/>
              </w:rPr>
              <w:t>Processo de habilitação DDA no Santander demora mais que os 15 dias estimados, atrasando o caminho crítico</w:t>
            </w:r>
          </w:p>
        </w:tc>
        <w:tc>
          <w:tcPr>
            <w:tcW w:w="1313" w:type="dxa"/>
          </w:tcPr>
          <w:p>
            <w:r>
              <w:rPr>
                <w:sz w:val="19"/>
              </w:rPr>
              <w:t>5</w:t>
            </w:r>
          </w:p>
        </w:tc>
        <w:tc>
          <w:tcPr>
            <w:tcW w:w="1313" w:type="dxa"/>
          </w:tcPr>
          <w:p>
            <w:r>
              <w:rPr>
                <w:sz w:val="19"/>
              </w:rPr>
              <w:t>6</w:t>
            </w:r>
          </w:p>
        </w:tc>
        <w:tc>
          <w:tcPr>
            <w:tcW w:w="1313" w:type="dxa"/>
          </w:tcPr>
          <w:p>
            <w:r>
              <w:rPr>
                <w:sz w:val="19"/>
              </w:rPr>
              <w:t>30</w:t>
            </w:r>
          </w:p>
        </w:tc>
        <w:tc>
          <w:tcPr>
            <w:tcW w:w="1313" w:type="dxa"/>
          </w:tcPr>
          <w:p>
            <w:r>
              <w:rPr>
                <w:sz w:val="19"/>
              </w:rPr>
              <w:t>ALTO</w:t>
            </w:r>
          </w:p>
        </w:tc>
      </w:tr>
      <w:tr>
        <w:tc>
          <w:tcPr>
            <w:tcW w:w="1020" w:type="dxa"/>
            <w:shd w:val="clear" w:color="auto" w:fill="F0F5FB"/>
          </w:tcPr>
          <w:p>
            <w:r>
              <w:rPr>
                <w:sz w:val="19"/>
              </w:rPr>
              <w:t>R-004</w:t>
            </w:r>
          </w:p>
        </w:tc>
        <w:tc>
          <w:tcPr>
            <w:tcW w:w="1313" w:type="dxa"/>
            <w:shd w:val="clear" w:color="auto" w:fill="F0F5FB"/>
          </w:tcPr>
          <w:p>
            <w:r>
              <w:rPr>
                <w:sz w:val="19"/>
              </w:rPr>
              <w:t>Técnico</w:t>
            </w:r>
          </w:p>
        </w:tc>
        <w:tc>
          <w:tcPr>
            <w:tcW w:w="1313" w:type="dxa"/>
            <w:shd w:val="clear" w:color="auto" w:fill="F0F5FB"/>
          </w:tcPr>
          <w:p>
            <w:r>
              <w:rPr>
                <w:sz w:val="19"/>
              </w:rPr>
              <w:t>Ambiente SAP FI da VAB Matriz difere da Divisão Logística de forma não antecipada (versão, configuração base, transportes)</w:t>
            </w:r>
          </w:p>
        </w:tc>
        <w:tc>
          <w:tcPr>
            <w:tcW w:w="1313" w:type="dxa"/>
            <w:shd w:val="clear" w:color="auto" w:fill="F0F5FB"/>
          </w:tcPr>
          <w:p>
            <w:r>
              <w:rPr>
                <w:sz w:val="19"/>
              </w:rPr>
              <w:t>3</w:t>
            </w:r>
          </w:p>
        </w:tc>
        <w:tc>
          <w:tcPr>
            <w:tcW w:w="1313" w:type="dxa"/>
            <w:shd w:val="clear" w:color="auto" w:fill="F0F5FB"/>
          </w:tcPr>
          <w:p>
            <w:r>
              <w:rPr>
                <w:sz w:val="19"/>
              </w:rPr>
              <w:t>7</w:t>
            </w:r>
          </w:p>
        </w:tc>
        <w:tc>
          <w:tcPr>
            <w:tcW w:w="1313" w:type="dxa"/>
            <w:shd w:val="clear" w:color="auto" w:fill="F0F5FB"/>
          </w:tcPr>
          <w:p>
            <w:r>
              <w:rPr>
                <w:sz w:val="19"/>
              </w:rPr>
              <w:t>21</w:t>
            </w:r>
          </w:p>
        </w:tc>
        <w:tc>
          <w:tcPr>
            <w:tcW w:w="1313" w:type="dxa"/>
            <w:shd w:val="clear" w:color="auto" w:fill="F0F5FB"/>
          </w:tcPr>
          <w:p>
            <w:r>
              <w:rPr>
                <w:sz w:val="19"/>
              </w:rPr>
              <w:t>MÉDIO</w:t>
            </w:r>
          </w:p>
        </w:tc>
      </w:tr>
      <w:tr>
        <w:tc>
          <w:tcPr>
            <w:tcW w:w="1020" w:type="dxa"/>
          </w:tcPr>
          <w:p>
            <w:r>
              <w:rPr>
                <w:sz w:val="19"/>
              </w:rPr>
              <w:t>R-005</w:t>
            </w:r>
          </w:p>
        </w:tc>
        <w:tc>
          <w:tcPr>
            <w:tcW w:w="1313" w:type="dxa"/>
          </w:tcPr>
          <w:p>
            <w:r>
              <w:rPr>
                <w:sz w:val="19"/>
              </w:rPr>
              <w:t>Governança</w:t>
            </w:r>
          </w:p>
        </w:tc>
        <w:tc>
          <w:tcPr>
            <w:tcW w:w="1313" w:type="dxa"/>
          </w:tcPr>
          <w:p>
            <w:r>
              <w:rPr>
                <w:sz w:val="19"/>
              </w:rPr>
              <w:t>Sponsor Diretor+ não é identificado antes do kick-off — decisões de escopo/custo ficam sem alçada formal</w:t>
            </w:r>
          </w:p>
        </w:tc>
        <w:tc>
          <w:tcPr>
            <w:tcW w:w="1313" w:type="dxa"/>
          </w:tcPr>
          <w:p>
            <w:r>
              <w:rPr>
                <w:sz w:val="19"/>
              </w:rPr>
              <w:t>5</w:t>
            </w:r>
          </w:p>
        </w:tc>
        <w:tc>
          <w:tcPr>
            <w:tcW w:w="1313" w:type="dxa"/>
          </w:tcPr>
          <w:p>
            <w:r>
              <w:rPr>
                <w:sz w:val="19"/>
              </w:rPr>
              <w:t>6</w:t>
            </w:r>
          </w:p>
        </w:tc>
        <w:tc>
          <w:tcPr>
            <w:tcW w:w="1313" w:type="dxa"/>
          </w:tcPr>
          <w:p>
            <w:r>
              <w:rPr>
                <w:sz w:val="19"/>
              </w:rPr>
              <w:t>30</w:t>
            </w:r>
          </w:p>
        </w:tc>
        <w:tc>
          <w:tcPr>
            <w:tcW w:w="1313" w:type="dxa"/>
          </w:tcPr>
          <w:p>
            <w:r>
              <w:rPr>
                <w:sz w:val="19"/>
              </w:rPr>
              <w:t>ALTO</w:t>
            </w:r>
          </w:p>
        </w:tc>
      </w:tr>
      <w:tr>
        <w:tc>
          <w:tcPr>
            <w:tcW w:w="1020" w:type="dxa"/>
            <w:shd w:val="clear" w:color="auto" w:fill="F0F5FB"/>
          </w:tcPr>
          <w:p>
            <w:r>
              <w:rPr>
                <w:sz w:val="19"/>
              </w:rPr>
              <w:t>R-006</w:t>
            </w:r>
          </w:p>
        </w:tc>
        <w:tc>
          <w:tcPr>
            <w:tcW w:w="1313" w:type="dxa"/>
            <w:shd w:val="clear" w:color="auto" w:fill="F0F5FB"/>
          </w:tcPr>
          <w:p>
            <w:r>
              <w:rPr>
                <w:sz w:val="19"/>
              </w:rPr>
              <w:t>Pessoas</w:t>
            </w:r>
          </w:p>
        </w:tc>
        <w:tc>
          <w:tcPr>
            <w:tcW w:w="1313" w:type="dxa"/>
            <w:shd w:val="clear" w:color="auto" w:fill="F0F5FB"/>
          </w:tcPr>
          <w:p>
            <w:r>
              <w:rPr>
                <w:sz w:val="19"/>
              </w:rPr>
              <w:t>Recurso técnico DTI designado não tem disponibilidade suficiente ou conhecimento em FEBAN/DDA</w:t>
            </w:r>
          </w:p>
        </w:tc>
        <w:tc>
          <w:tcPr>
            <w:tcW w:w="1313" w:type="dxa"/>
            <w:shd w:val="clear" w:color="auto" w:fill="F0F5FB"/>
          </w:tcPr>
          <w:p>
            <w:r>
              <w:rPr>
                <w:sz w:val="19"/>
              </w:rPr>
              <w:t>4</w:t>
            </w:r>
          </w:p>
        </w:tc>
        <w:tc>
          <w:tcPr>
            <w:tcW w:w="1313" w:type="dxa"/>
            <w:shd w:val="clear" w:color="auto" w:fill="F0F5FB"/>
          </w:tcPr>
          <w:p>
            <w:r>
              <w:rPr>
                <w:sz w:val="19"/>
              </w:rPr>
              <w:t>7</w:t>
            </w:r>
          </w:p>
        </w:tc>
        <w:tc>
          <w:tcPr>
            <w:tcW w:w="1313" w:type="dxa"/>
            <w:shd w:val="clear" w:color="auto" w:fill="F0F5FB"/>
          </w:tcPr>
          <w:p>
            <w:r>
              <w:rPr>
                <w:sz w:val="19"/>
              </w:rPr>
              <w:t>28</w:t>
            </w:r>
          </w:p>
        </w:tc>
        <w:tc>
          <w:tcPr>
            <w:tcW w:w="1313" w:type="dxa"/>
            <w:shd w:val="clear" w:color="auto" w:fill="F0F5FB"/>
          </w:tcPr>
          <w:p>
            <w:r>
              <w:rPr>
                <w:sz w:val="19"/>
              </w:rPr>
              <w:t>ALTO</w:t>
            </w:r>
          </w:p>
        </w:tc>
      </w:tr>
      <w:tr>
        <w:tc>
          <w:tcPr>
            <w:tcW w:w="1020" w:type="dxa"/>
          </w:tcPr>
          <w:p>
            <w:r>
              <w:rPr>
                <w:sz w:val="19"/>
              </w:rPr>
              <w:t>R-007</w:t>
            </w:r>
          </w:p>
        </w:tc>
        <w:tc>
          <w:tcPr>
            <w:tcW w:w="1313" w:type="dxa"/>
          </w:tcPr>
          <w:p>
            <w:r>
              <w:rPr>
                <w:sz w:val="19"/>
              </w:rPr>
              <w:t>Pessoas</w:t>
            </w:r>
          </w:p>
        </w:tc>
        <w:tc>
          <w:tcPr>
            <w:tcW w:w="1313" w:type="dxa"/>
          </w:tcPr>
          <w:p>
            <w:r>
              <w:rPr>
                <w:sz w:val="19"/>
              </w:rPr>
              <w:t>Resistência ou baixa participação da equipe CP da VAB no UAT e treinamento</w:t>
            </w:r>
          </w:p>
        </w:tc>
        <w:tc>
          <w:tcPr>
            <w:tcW w:w="1313" w:type="dxa"/>
          </w:tcPr>
          <w:p>
            <w:r>
              <w:rPr>
                <w:sz w:val="19"/>
              </w:rPr>
              <w:t>2</w:t>
            </w:r>
          </w:p>
        </w:tc>
        <w:tc>
          <w:tcPr>
            <w:tcW w:w="1313" w:type="dxa"/>
          </w:tcPr>
          <w:p>
            <w:r>
              <w:rPr>
                <w:sz w:val="19"/>
              </w:rPr>
              <w:t>4</w:t>
            </w:r>
          </w:p>
        </w:tc>
        <w:tc>
          <w:tcPr>
            <w:tcW w:w="1313" w:type="dxa"/>
          </w:tcPr>
          <w:p>
            <w:r>
              <w:rPr>
                <w:sz w:val="19"/>
              </w:rPr>
              <w:t>8</w:t>
            </w:r>
          </w:p>
        </w:tc>
        <w:tc>
          <w:tcPr>
            <w:tcW w:w="1313" w:type="dxa"/>
          </w:tcPr>
          <w:p>
            <w:r>
              <w:rPr>
                <w:sz w:val="19"/>
              </w:rPr>
              <w:t>BAIXO</w:t>
            </w:r>
          </w:p>
        </w:tc>
      </w:tr>
      <w:tr>
        <w:tc>
          <w:tcPr>
            <w:tcW w:w="1020" w:type="dxa"/>
            <w:shd w:val="clear" w:color="auto" w:fill="F0F5FB"/>
          </w:tcPr>
          <w:p>
            <w:r>
              <w:rPr>
                <w:sz w:val="19"/>
              </w:rPr>
              <w:t>R-008</w:t>
            </w:r>
          </w:p>
        </w:tc>
        <w:tc>
          <w:tcPr>
            <w:tcW w:w="1313" w:type="dxa"/>
            <w:shd w:val="clear" w:color="auto" w:fill="F0F5FB"/>
          </w:tcPr>
          <w:p>
            <w:r>
              <w:rPr>
                <w:sz w:val="19"/>
              </w:rPr>
              <w:t>Técnico</w:t>
            </w:r>
          </w:p>
        </w:tc>
        <w:tc>
          <w:tcPr>
            <w:tcW w:w="1313" w:type="dxa"/>
            <w:shd w:val="clear" w:color="auto" w:fill="F0F5FB"/>
          </w:tcPr>
          <w:p>
            <w:r>
              <w:rPr>
                <w:sz w:val="19"/>
              </w:rPr>
              <w:t>Layout CNAB 240 do Santander para a conta VAB difere do layout já configurado na Divisão Logística</w:t>
            </w:r>
          </w:p>
        </w:tc>
        <w:tc>
          <w:tcPr>
            <w:tcW w:w="1313" w:type="dxa"/>
            <w:shd w:val="clear" w:color="auto" w:fill="F0F5FB"/>
          </w:tcPr>
          <w:p>
            <w:r>
              <w:rPr>
                <w:sz w:val="19"/>
              </w:rPr>
              <w:t>3</w:t>
            </w:r>
          </w:p>
        </w:tc>
        <w:tc>
          <w:tcPr>
            <w:tcW w:w="1313" w:type="dxa"/>
            <w:shd w:val="clear" w:color="auto" w:fill="F0F5FB"/>
          </w:tcPr>
          <w:p>
            <w:r>
              <w:rPr>
                <w:sz w:val="19"/>
              </w:rPr>
              <w:t>6</w:t>
            </w:r>
          </w:p>
        </w:tc>
        <w:tc>
          <w:tcPr>
            <w:tcW w:w="1313" w:type="dxa"/>
            <w:shd w:val="clear" w:color="auto" w:fill="F0F5FB"/>
          </w:tcPr>
          <w:p>
            <w:r>
              <w:rPr>
                <w:sz w:val="19"/>
              </w:rPr>
              <w:t>18</w:t>
            </w:r>
          </w:p>
        </w:tc>
        <w:tc>
          <w:tcPr>
            <w:tcW w:w="1313" w:type="dxa"/>
            <w:shd w:val="clear" w:color="auto" w:fill="F0F5FB"/>
          </w:tcPr>
          <w:p>
            <w:r>
              <w:rPr>
                <w:sz w:val="19"/>
              </w:rPr>
              <w:t>MÉDIO</w:t>
            </w:r>
          </w:p>
        </w:tc>
      </w:tr>
      <w:tr>
        <w:tc>
          <w:tcPr>
            <w:tcW w:w="1020" w:type="dxa"/>
          </w:tcPr>
          <w:p>
            <w:r>
              <w:rPr>
                <w:sz w:val="19"/>
              </w:rPr>
              <w:t>R-009</w:t>
            </w:r>
          </w:p>
        </w:tc>
        <w:tc>
          <w:tcPr>
            <w:tcW w:w="1313" w:type="dxa"/>
          </w:tcPr>
          <w:p>
            <w:r>
              <w:rPr>
                <w:sz w:val="19"/>
              </w:rPr>
              <w:t>Processo</w:t>
            </w:r>
          </w:p>
        </w:tc>
        <w:tc>
          <w:tcPr>
            <w:tcW w:w="1313" w:type="dxa"/>
          </w:tcPr>
          <w:p>
            <w:r>
              <w:rPr>
                <w:sz w:val="19"/>
              </w:rPr>
              <w:t>Mudança de escopo não controlada durante a fase de levantamento técnico (scope creep via "ajustes" adicionais)</w:t>
            </w:r>
          </w:p>
        </w:tc>
        <w:tc>
          <w:tcPr>
            <w:tcW w:w="1313" w:type="dxa"/>
          </w:tcPr>
          <w:p>
            <w:r>
              <w:rPr>
                <w:sz w:val="19"/>
              </w:rPr>
              <w:t>4</w:t>
            </w:r>
          </w:p>
        </w:tc>
        <w:tc>
          <w:tcPr>
            <w:tcW w:w="1313" w:type="dxa"/>
          </w:tcPr>
          <w:p>
            <w:r>
              <w:rPr>
                <w:sz w:val="19"/>
              </w:rPr>
              <w:t>5</w:t>
            </w:r>
          </w:p>
        </w:tc>
        <w:tc>
          <w:tcPr>
            <w:tcW w:w="1313" w:type="dxa"/>
          </w:tcPr>
          <w:p>
            <w:r>
              <w:rPr>
                <w:sz w:val="19"/>
              </w:rPr>
              <w:t>20</w:t>
            </w:r>
          </w:p>
        </w:tc>
        <w:tc>
          <w:tcPr>
            <w:tcW w:w="1313" w:type="dxa"/>
          </w:tcPr>
          <w:p>
            <w:r>
              <w:rPr>
                <w:sz w:val="19"/>
              </w:rPr>
              <w:t>MÉDIO</w:t>
            </w:r>
          </w:p>
        </w:tc>
      </w:tr>
      <w:tr>
        <w:tc>
          <w:tcPr>
            <w:tcW w:w="1020" w:type="dxa"/>
            <w:shd w:val="clear" w:color="auto" w:fill="F0F5FB"/>
          </w:tcPr>
          <w:p>
            <w:r>
              <w:rPr>
                <w:sz w:val="19"/>
              </w:rPr>
              <w:t>R-010</w:t>
            </w:r>
          </w:p>
        </w:tc>
        <w:tc>
          <w:tcPr>
            <w:tcW w:w="1313" w:type="dxa"/>
            <w:shd w:val="clear" w:color="auto" w:fill="F0F5FB"/>
          </w:tcPr>
          <w:p>
            <w:r>
              <w:rPr>
                <w:sz w:val="19"/>
              </w:rPr>
              <w:t>Processo</w:t>
            </w:r>
          </w:p>
        </w:tc>
        <w:tc>
          <w:tcPr>
            <w:tcW w:w="1313" w:type="dxa"/>
            <w:shd w:val="clear" w:color="auto" w:fill="F0F5FB"/>
          </w:tcPr>
          <w:p>
            <w:r>
              <w:rPr>
                <w:sz w:val="19"/>
              </w:rPr>
              <w:t>Encerramento do projeto sem documentação técnica finalizada — próxima manutenção sem referência</w:t>
            </w:r>
          </w:p>
        </w:tc>
        <w:tc>
          <w:tcPr>
            <w:tcW w:w="1313" w:type="dxa"/>
            <w:shd w:val="clear" w:color="auto" w:fill="F0F5FB"/>
          </w:tcPr>
          <w:p>
            <w:r>
              <w:rPr>
                <w:sz w:val="19"/>
              </w:rPr>
              <w:t>2</w:t>
            </w:r>
          </w:p>
        </w:tc>
        <w:tc>
          <w:tcPr>
            <w:tcW w:w="1313" w:type="dxa"/>
            <w:shd w:val="clear" w:color="auto" w:fill="F0F5FB"/>
          </w:tcPr>
          <w:p>
            <w:r>
              <w:rPr>
                <w:sz w:val="19"/>
              </w:rPr>
              <w:t>5</w:t>
            </w:r>
          </w:p>
        </w:tc>
        <w:tc>
          <w:tcPr>
            <w:tcW w:w="1313" w:type="dxa"/>
            <w:shd w:val="clear" w:color="auto" w:fill="F0F5FB"/>
          </w:tcPr>
          <w:p>
            <w:r>
              <w:rPr>
                <w:sz w:val="19"/>
              </w:rPr>
              <w:t>10</w:t>
            </w:r>
          </w:p>
        </w:tc>
        <w:tc>
          <w:tcPr>
            <w:tcW w:w="1313" w:type="dxa"/>
            <w:shd w:val="clear" w:color="auto" w:fill="F0F5FB"/>
          </w:tcPr>
          <w:p>
            <w:r>
              <w:rPr>
                <w:sz w:val="19"/>
              </w:rPr>
              <w:t>MÉDIO</w:t>
            </w:r>
          </w:p>
        </w:tc>
      </w:tr>
    </w:tbl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Plano de Resposta por Risco</w:t>
      </w:r>
    </w:p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rPr>
          <w:rFonts w:ascii="Calibri" w:hAnsi="Calibri"/>
          <w:b/>
          <w:i w:val="0"/>
          <w:color w:val="2A4A7F"/>
          <w:sz w:val="22"/>
        </w:rPr>
        <w:t>R-001 — Autorização Holding inválida se houver custo externo</w:t>
      </w:r>
    </w:p>
    <w:p>
      <w:r/>
      <w:r>
        <w:rPr>
          <w:b/>
        </w:rPr>
        <w:t>Nível:</w:t>
      </w:r>
      <w:r>
        <w:t xml:space="preserve"> CRÍTICO | P: 7 | I: 8 | Score: 56</w:t>
      </w:r>
    </w:p>
    <w:p>
      <w:r/>
      <w:r>
        <w:rPr>
          <w:b/>
        </w:rPr>
        <w:t>Estratégia:</w:t>
      </w:r>
      <w:r>
        <w:t xml:space="preserve"> MITIGAR + EVITAR</w:t>
      </w:r>
    </w:p>
    <w:p/>
    <w:p>
      <w:r/>
      <w:r>
        <w:rPr>
          <w:b/>
        </w:rPr>
        <w:t>Trigger:</w:t>
      </w:r>
      <w:r>
        <w:t xml:space="preserve"> Qualquer indicação de custo externo durante o levantamento técnico (E-01) ou contratação de serviço externo.</w:t>
      </w:r>
    </w:p>
    <w:p/>
    <w:p>
      <w:r/>
      <w:r>
        <w:rPr>
          <w:b/>
        </w:rPr>
        <w:t>Ações de mitigação:</w:t>
      </w:r>
      <w:r/>
    </w:p>
    <w:p>
      <w:pPr>
        <w:pStyle w:val="ListNumber"/>
      </w:pPr>
      <w:r>
        <w:t>Executar o projeto com horas internas DTI exclusivamente (meta custo zero)</w:t>
      </w:r>
    </w:p>
    <w:p>
      <w:pPr>
        <w:pStyle w:val="ListNumber"/>
      </w:pPr>
      <w:r>
        <w:t>No artefato obrigatório do WR (G6), confirmar viabilidade de custo zero antes do kick-off</w:t>
      </w:r>
    </w:p>
    <w:p>
      <w:pPr>
        <w:pStyle w:val="ListNumber"/>
      </w:pPr>
      <w:r>
        <w:t>Se E-01 identificar necessidade de custo externo, PARAR antes de qualquer gasto e:</w:t>
      </w:r>
    </w:p>
    <w:p>
      <w:r>
        <w:t xml:space="preserve">   a. Quantificar o custo exato</w:t>
      </w:r>
    </w:p>
    <w:p>
      <w:r>
        <w:t xml:space="preserve">   b. Levar ao Gladston para aprovação</w:t>
      </w:r>
    </w:p>
    <w:p>
      <w:r>
        <w:t xml:space="preserve">   c. Contatar Walace Bacelar (Holding) para nova autorização formal</w:t>
      </w:r>
    </w:p>
    <w:p>
      <w:pPr>
        <w:pStyle w:val="ListNumber"/>
      </w:pPr>
      <w:r>
        <w:t>Não contratar nenhum serviço externo sem nova autorização do Holding, independentemente do valor</w:t>
      </w:r>
    </w:p>
    <w:p/>
    <w:p>
      <w:r/>
      <w:r>
        <w:rPr>
          <w:b/>
        </w:rPr>
        <w:t>Plano de contingência:</w:t>
      </w:r>
      <w:r>
        <w:t xml:space="preserve"> Se Holding não re-autorizar o custo → projeto vai para EM ESPERA até</w:t>
      </w:r>
    </w:p>
    <w:p>
      <w:r>
        <w:t>solução sem custo externo ser encontrada OU até nova janela de orçamento.</w:t>
      </w:r>
    </w:p>
    <w:p/>
    <w:p>
      <w:r/>
      <w:r>
        <w:rPr>
          <w:b/>
        </w:rPr>
        <w:t>Responsável:</w:t>
      </w:r>
      <w:r>
        <w:t xml:space="preserve"> GP + Gladston Campos</w:t>
      </w:r>
    </w:p>
    <w:p>
      <w:r/>
      <w:r>
        <w:rPr>
          <w:b/>
        </w:rPr>
        <w:t>Prazo de mitigação:</w:t>
      </w:r>
      <w:r>
        <w:t xml:space="preserve"> Antes e durante todo o projeto (monitoramento contínuo)</w:t>
      </w:r>
    </w:p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rPr>
          <w:rFonts w:ascii="Calibri" w:hAnsi="Calibri"/>
          <w:b/>
          <w:i w:val="0"/>
          <w:color w:val="2A4A7F"/>
          <w:sz w:val="22"/>
        </w:rPr>
        <w:t>R-002 — Ajustes mais complexos que parametrização (CB-2)</w:t>
      </w:r>
    </w:p>
    <w:p>
      <w:r/>
      <w:r>
        <w:rPr>
          <w:b/>
        </w:rPr>
        <w:t>Nível:</w:t>
      </w:r>
      <w:r>
        <w:t xml:space="preserve"> ALTO | P: 5 | I: 8 | Score: 40</w:t>
      </w:r>
    </w:p>
    <w:p>
      <w:r/>
      <w:r>
        <w:rPr>
          <w:b/>
        </w:rPr>
        <w:t>Estratégia:</w:t>
      </w:r>
      <w:r>
        <w:t xml:space="preserve"> MITIGAR</w:t>
      </w:r>
    </w:p>
    <w:p/>
    <w:p>
      <w:r/>
      <w:r>
        <w:rPr>
          <w:b/>
        </w:rPr>
        <w:t>Trigger:</w:t>
      </w:r>
      <w:r>
        <w:t xml:space="preserve"> E-01 (levantamento técnico) identifica necessidade de desenvolvimento ABAP, novo</w:t>
      </w:r>
    </w:p>
    <w:p>
      <w:r>
        <w:t>programa Z, ou modificação de objeto SAP standard para implementar o DDA na VAB.</w:t>
      </w:r>
    </w:p>
    <w:p/>
    <w:p>
      <w:r/>
      <w:r>
        <w:rPr>
          <w:b/>
        </w:rPr>
        <w:t>Ações de mitigação:</w:t>
      </w:r>
      <w:r/>
    </w:p>
    <w:p>
      <w:pPr>
        <w:pStyle w:val="ListNumber"/>
      </w:pPr>
      <w:r>
        <w:t>Priorizar o levantamento técnico (Fase 2) como primeira atividade do projeto</w:t>
      </w:r>
    </w:p>
    <w:p>
      <w:pPr>
        <w:pStyle w:val="ListNumber"/>
      </w:pPr>
      <w:r>
        <w:t>Na reunião com a Div. Logística, verificar explicitamente: houve desenvolvimento ABAP?</w:t>
      </w:r>
    </w:p>
    <w:p>
      <w:pPr>
        <w:pStyle w:val="ListNumber"/>
      </w:pPr>
      <w:r>
        <w:t>Se E-01 identificar necessidade de desenvolvimento:</w:t>
      </w:r>
    </w:p>
    <w:p>
      <w:r>
        <w:t xml:space="preserve">   a. Estimar esforço total (incluindo desenvolvimento)</w:t>
      </w:r>
    </w:p>
    <w:p>
      <w:r>
        <w:t xml:space="preserve">   b. Atualizar classificação do projeto (MELHORIA → PROJETO) formalmente</w:t>
      </w:r>
    </w:p>
    <w:p>
      <w:r>
        <w:t xml:space="preserve">   c. Apresentar nova qualificação ao VMO antes de prosseguir</w:t>
      </w:r>
    </w:p>
    <w:p>
      <w:r>
        <w:t xml:space="preserve">   d. Verificar impacto no custo (re-acionamento da CB-3 e R-001)</w:t>
      </w:r>
    </w:p>
    <w:p/>
    <w:p>
      <w:r/>
      <w:r>
        <w:rPr>
          <w:b/>
        </w:rPr>
        <w:t>Plano de contingência:</w:t>
      </w:r>
      <w:r>
        <w:t xml:space="preserve"> Reclassificação como PROJETO → novo ciclo de planejamento com</w:t>
      </w:r>
    </w:p>
    <w:p>
      <w:r>
        <w:t>TAP revisado, cronograma revisado e aprovação do sponsor.</w:t>
      </w:r>
    </w:p>
    <w:p/>
    <w:p>
      <w:r/>
      <w:r>
        <w:rPr>
          <w:b/>
        </w:rPr>
        <w:t>Responsável:</w:t>
      </w:r>
      <w:r>
        <w:t xml:space="preserve"> Recurso técnico DTI + GP</w:t>
      </w:r>
    </w:p>
    <w:p>
      <w:r/>
      <w:r>
        <w:rPr>
          <w:b/>
        </w:rPr>
        <w:t>Prazo de mitigação:</w:t>
      </w:r>
      <w:r>
        <w:t xml:space="preserve"> M-1 (27/06/2026) — decisão definitiva no E-01</w:t>
      </w:r>
    </w:p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rPr>
          <w:rFonts w:ascii="Calibri" w:hAnsi="Calibri"/>
          <w:b/>
          <w:i w:val="0"/>
          <w:color w:val="2A4A7F"/>
          <w:sz w:val="22"/>
        </w:rPr>
        <w:t>R-003 — Habilitação DDA Santander demorada</w:t>
      </w:r>
    </w:p>
    <w:p>
      <w:r/>
      <w:r>
        <w:rPr>
          <w:b/>
        </w:rPr>
        <w:t>Nível:</w:t>
      </w:r>
      <w:r>
        <w:t xml:space="preserve"> ALTO | P: 5 | I: 6 | Score: 30</w:t>
      </w:r>
    </w:p>
    <w:p>
      <w:r/>
      <w:r>
        <w:rPr>
          <w:b/>
        </w:rPr>
        <w:t>Estratégia:</w:t>
      </w:r>
      <w:r>
        <w:t xml:space="preserve"> MITIGAR</w:t>
      </w:r>
    </w:p>
    <w:p/>
    <w:p>
      <w:r/>
      <w:r>
        <w:rPr>
          <w:b/>
        </w:rPr>
        <w:t>Trigger:</w:t>
      </w:r>
      <w:r>
        <w:t xml:space="preserve"> Santander não confirmar habilitação DDA até 18/07/2026 (M-2 previsto).</w:t>
      </w:r>
    </w:p>
    <w:p/>
    <w:p>
      <w:r/>
      <w:r>
        <w:rPr>
          <w:b/>
        </w:rPr>
        <w:t>Ações de mitigação:</w:t>
      </w:r>
      <w:r/>
    </w:p>
    <w:p>
      <w:pPr>
        <w:pStyle w:val="ListNumber"/>
      </w:pPr>
      <w:r>
        <w:t>Iniciar processo de habilitação no banco no primeiro dia do kick-off (3.1 no cronograma)</w:t>
      </w:r>
    </w:p>
    <w:p>
      <w:pPr>
        <w:pStyle w:val="ListNumber"/>
      </w:pPr>
      <w:r>
        <w:t>Identificar o contato Santander (gerente de conta corporativo VAB) antes do kick-off</w:t>
      </w:r>
    </w:p>
    <w:p>
      <w:pPr>
        <w:pStyle w:val="ListNumber"/>
      </w:pPr>
      <w:r>
        <w:t>Solicitar ao Santander prazo formal de habilitação em resposta ao pedido</w:t>
      </w:r>
    </w:p>
    <w:p>
      <w:pPr>
        <w:pStyle w:val="ListNumber"/>
      </w:pPr>
      <w:r>
        <w:t>Monitorar semanalmente o status da habilitação</w:t>
      </w:r>
    </w:p>
    <w:p>
      <w:pPr>
        <w:pStyle w:val="ListNumber"/>
      </w:pPr>
      <w:r>
        <w:t>Escalar para Noemia/tesouraria VAB se Santander não responder em 5 dias úteis</w:t>
      </w:r>
    </w:p>
    <w:p/>
    <w:p>
      <w:r/>
      <w:r>
        <w:rPr>
          <w:b/>
        </w:rPr>
        <w:t>Plano de contingência:</w:t>
      </w:r>
      <w:r>
        <w:t xml:space="preserve"> Atraso de até 2 semanas é absorvido pelo buffer de setembro.</w:t>
      </w:r>
    </w:p>
    <w:p>
      <w:r>
        <w:t>Atraso acima de 2 semanas → revisar data de go-live e comunicar ao sponsor.</w:t>
      </w:r>
    </w:p>
    <w:p/>
    <w:p>
      <w:r/>
      <w:r>
        <w:rPr>
          <w:b/>
        </w:rPr>
        <w:t>Responsável:</w:t>
      </w:r>
      <w:r>
        <w:t xml:space="preserve"> Noemia Tambara (ponto focal bancário) + GP</w:t>
      </w:r>
    </w:p>
    <w:p>
      <w:r/>
      <w:r>
        <w:rPr>
          <w:b/>
        </w:rPr>
        <w:t>Prazo de mitigação:</w:t>
      </w:r>
      <w:r>
        <w:t xml:space="preserve"> Início em 30/06/2026; M-2 monitorado semanalmente</w:t>
      </w:r>
    </w:p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rPr>
          <w:rFonts w:ascii="Calibri" w:hAnsi="Calibri"/>
          <w:b/>
          <w:i w:val="0"/>
          <w:color w:val="2A4A7F"/>
          <w:sz w:val="22"/>
        </w:rPr>
        <w:t>R-004 — Ambiente SAP VAB difere da Divisão Logística</w:t>
      </w:r>
    </w:p>
    <w:p>
      <w:r/>
      <w:r>
        <w:rPr>
          <w:b/>
        </w:rPr>
        <w:t>Nível:</w:t>
      </w:r>
      <w:r>
        <w:t xml:space="preserve"> MÉDIO | P: 3 | I: 7 | Score: 21</w:t>
      </w:r>
    </w:p>
    <w:p>
      <w:r/>
      <w:r>
        <w:rPr>
          <w:b/>
        </w:rPr>
        <w:t>Estratégia:</w:t>
      </w:r>
      <w:r>
        <w:t xml:space="preserve"> MITIGAR</w:t>
      </w:r>
    </w:p>
    <w:p/>
    <w:p>
      <w:r/>
      <w:r>
        <w:rPr>
          <w:b/>
        </w:rPr>
        <w:t>Trigger:</w:t>
      </w:r>
      <w:r>
        <w:t xml:space="preserve"> Levantamento técnico (2.1) identifica divergência de versão SAP, patch level,</w:t>
      </w:r>
    </w:p>
    <w:p>
      <w:r>
        <w:t>configuração base do FI ou transporte de customizações que impeça replicação direta.</w:t>
      </w:r>
    </w:p>
    <w:p/>
    <w:p>
      <w:r/>
      <w:r>
        <w:rPr>
          <w:b/>
        </w:rPr>
        <w:t>Ações de mitigação:</w:t>
      </w:r>
      <w:r/>
    </w:p>
    <w:p>
      <w:pPr>
        <w:pStyle w:val="ListNumber"/>
      </w:pPr>
      <w:r>
        <w:t>Incluir na agenda do levantamento (2.1) verificação explícita de versão e patch level SAP</w:t>
      </w:r>
    </w:p>
    <w:p>
      <w:pPr>
        <w:pStyle w:val="ListNumber"/>
      </w:pPr>
      <w:r>
        <w:t>Solicitar print da versão SAP do ambiente VAB antes da reunião de análise</w:t>
      </w:r>
    </w:p>
    <w:p>
      <w:pPr>
        <w:pStyle w:val="ListNumber"/>
      </w:pPr>
      <w:r>
        <w:t>Se divergência identificada: avaliar impacto antes de iniciar qualquer configuração</w:t>
      </w:r>
    </w:p>
    <w:p/>
    <w:p>
      <w:r/>
      <w:r>
        <w:rPr>
          <w:b/>
        </w:rPr>
        <w:t>Plano de contingência:</w:t>
      </w:r>
      <w:r>
        <w:t xml:space="preserve"> Divergência leve (patch level) → ajuste na configuração (+2–5 dias).</w:t>
      </w:r>
    </w:p>
    <w:p>
      <w:r>
        <w:t>Divergência severa (versão principal) → reclassificação escopo e notificação ao sponsor.</w:t>
      </w:r>
    </w:p>
    <w:p/>
    <w:p>
      <w:r/>
      <w:r>
        <w:rPr>
          <w:b/>
        </w:rPr>
        <w:t>Responsável:</w:t>
      </w:r>
      <w:r>
        <w:t xml:space="preserve"> Recurso técnico DTI</w:t>
      </w:r>
    </w:p>
    <w:p>
      <w:r/>
      <w:r>
        <w:rPr>
          <w:b/>
        </w:rPr>
        <w:t>Prazo de mitigação:</w:t>
      </w:r>
      <w:r>
        <w:t xml:space="preserve"> M-1 (27/06/2026)</w:t>
      </w:r>
    </w:p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rPr>
          <w:rFonts w:ascii="Calibri" w:hAnsi="Calibri"/>
          <w:b/>
          <w:i w:val="0"/>
          <w:color w:val="2A4A7F"/>
          <w:sz w:val="22"/>
        </w:rPr>
        <w:t>R-005 — Sponsor sem alçada Diretor+ (CB-Sponsor)</w:t>
      </w:r>
    </w:p>
    <w:p>
      <w:r/>
      <w:r>
        <w:rPr>
          <w:b/>
        </w:rPr>
        <w:t>Nível:</w:t>
      </w:r>
      <w:r>
        <w:t xml:space="preserve"> ALTO | P: 5 | I: 6 | Score: 30</w:t>
      </w:r>
    </w:p>
    <w:p>
      <w:r/>
      <w:r>
        <w:rPr>
          <w:b/>
        </w:rPr>
        <w:t>Estratégia:</w:t>
      </w:r>
      <w:r>
        <w:t xml:space="preserve"> MITIGAR</w:t>
      </w:r>
    </w:p>
    <w:p/>
    <w:p>
      <w:r/>
      <w:r>
        <w:rPr>
          <w:b/>
        </w:rPr>
        <w:t>Trigger:</w:t>
      </w:r>
      <w:r>
        <w:t xml:space="preserve"> Gate de kick-off ocorre sem identificação de sponsor Diretor+.</w:t>
      </w:r>
    </w:p>
    <w:p/>
    <w:p>
      <w:r/>
      <w:r>
        <w:rPr>
          <w:b/>
        </w:rPr>
        <w:t>Ações de mitigação:</w:t>
      </w:r>
      <w:r/>
    </w:p>
    <w:p>
      <w:pPr>
        <w:pStyle w:val="ListNumber"/>
      </w:pPr>
      <w:r>
        <w:t>CB-Sponsor é condição obrigatória do gate de kick-off (Gabriel Governança verifica)</w:t>
      </w:r>
    </w:p>
    <w:p>
      <w:pPr>
        <w:pStyle w:val="ListNumber"/>
      </w:pPr>
      <w:r>
        <w:t>Gladston Campos deve identificar ou acionar um Diretor+ antes do kick-off</w:t>
      </w:r>
    </w:p>
    <w:p>
      <w:pPr>
        <w:pStyle w:val="ListNumber"/>
      </w:pPr>
      <w:r>
        <w:t>Se impossível: formalizar e-mail de ciência de um Diretor+ como patrocinador da decisão</w:t>
      </w:r>
    </w:p>
    <w:p/>
    <w:p>
      <w:r/>
      <w:r>
        <w:rPr>
          <w:b/>
        </w:rPr>
        <w:t>Plano de contingência:</w:t>
      </w:r>
      <w:r>
        <w:t xml:space="preserve"> Gate de kick-off bloqueado até resolução — não há contingência</w:t>
      </w:r>
    </w:p>
    <w:p>
      <w:r>
        <w:t>que substitua um sponsor com autoridade formal.</w:t>
      </w:r>
    </w:p>
    <w:p/>
    <w:p>
      <w:r/>
      <w:r>
        <w:rPr>
          <w:b/>
        </w:rPr>
        <w:t>Responsável:</w:t>
      </w:r>
      <w:r>
        <w:t xml:space="preserve"> Gladston Campos → escalada ao Diretor de TI/negócio VAB</w:t>
      </w:r>
    </w:p>
    <w:p>
      <w:r/>
      <w:r>
        <w:rPr>
          <w:b/>
        </w:rPr>
        <w:t>Prazo:</w:t>
      </w:r>
      <w:r>
        <w:t xml:space="preserve"> Antes do gate de kick-off (06/06/2026)</w:t>
      </w:r>
    </w:p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rPr>
          <w:rFonts w:ascii="Calibri" w:hAnsi="Calibri"/>
          <w:b/>
          <w:i w:val="0"/>
          <w:color w:val="2A4A7F"/>
          <w:sz w:val="22"/>
        </w:rPr>
        <w:t>R-006 — Recurso técnico DTI sem disponibilidade ou conhecimento</w:t>
      </w:r>
    </w:p>
    <w:p>
      <w:r/>
      <w:r>
        <w:rPr>
          <w:b/>
        </w:rPr>
        <w:t>Nível:</w:t>
      </w:r>
      <w:r>
        <w:t xml:space="preserve"> ALTO | P: 4 | I: 7 | Score: 28</w:t>
      </w:r>
    </w:p>
    <w:p>
      <w:r/>
      <w:r>
        <w:rPr>
          <w:b/>
        </w:rPr>
        <w:t>Estratégia:</w:t>
      </w:r>
      <w:r>
        <w:t xml:space="preserve"> MITIGAR</w:t>
      </w:r>
    </w:p>
    <w:p/>
    <w:p>
      <w:r/>
      <w:r>
        <w:rPr>
          <w:b/>
        </w:rPr>
        <w:t>Trigger:</w:t>
      </w:r>
      <w:r>
        <w:t xml:space="preserve"> Recurso designado tem &lt; 50% de disponibilidade para o projeto OU não tem</w:t>
      </w:r>
    </w:p>
    <w:p>
      <w:r>
        <w:t>experiência com FEBAN/integração bancária SAP.</w:t>
      </w:r>
    </w:p>
    <w:p/>
    <w:p>
      <w:r/>
      <w:r>
        <w:rPr>
          <w:b/>
        </w:rPr>
        <w:t>Ações de mitigação:</w:t>
      </w:r>
      <w:r/>
    </w:p>
    <w:p>
      <w:pPr>
        <w:pStyle w:val="ListNumber"/>
      </w:pPr>
      <w:r>
        <w:t>No artefato do WR (G3), confirmar disponibilidade e perfil técnico antes do kick-off</w:t>
      </w:r>
    </w:p>
    <w:p>
      <w:pPr>
        <w:pStyle w:val="ListNumber"/>
      </w:pPr>
      <w:r>
        <w:t>Exigir que o recurso designado tenha ao menos familiaridade com FEBAN ou DDA SAP</w:t>
      </w:r>
    </w:p>
    <w:p>
      <w:pPr>
        <w:pStyle w:val="ListNumber"/>
      </w:pPr>
      <w:r>
        <w:t>Incluir sessão de transferência de conhecimento com o recurso da Div. Logística</w:t>
      </w:r>
    </w:p>
    <w:p/>
    <w:p>
      <w:r/>
      <w:r>
        <w:rPr>
          <w:b/>
        </w:rPr>
        <w:t>Plano de contingência:</w:t>
      </w:r>
      <w:r>
        <w:t xml:space="preserve"> Recurso inadequado → solicitar substituição ao DTI antes do</w:t>
      </w:r>
    </w:p>
    <w:p>
      <w:r>
        <w:t>início da Fase 2 (levantamento técnico).</w:t>
      </w:r>
    </w:p>
    <w:p/>
    <w:p>
      <w:r/>
      <w:r>
        <w:rPr>
          <w:b/>
        </w:rPr>
        <w:t>Responsável:</w:t>
      </w:r>
      <w:r>
        <w:t xml:space="preserve"> Gladston Campos + GP</w:t>
      </w:r>
    </w:p>
    <w:p>
      <w:r/>
      <w:r>
        <w:rPr>
          <w:b/>
        </w:rPr>
        <w:t>Prazo:</w:t>
      </w:r>
      <w:r>
        <w:t xml:space="preserve"> Confirmado em M-0 (gate de kick-off)</w:t>
      </w:r>
    </w:p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rPr>
          <w:rFonts w:ascii="Calibri" w:hAnsi="Calibri"/>
          <w:b/>
          <w:i w:val="0"/>
          <w:color w:val="2A4A7F"/>
          <w:sz w:val="22"/>
        </w:rPr>
        <w:t>R-007 — Resistência da equipe CP ao UAT e treinamento</w:t>
      </w:r>
    </w:p>
    <w:p>
      <w:r/>
      <w:r>
        <w:rPr>
          <w:b/>
        </w:rPr>
        <w:t>Nível:</w:t>
      </w:r>
      <w:r>
        <w:t xml:space="preserve"> BAIXO | P: 2 | I: 4 | Score: 8</w:t>
      </w:r>
    </w:p>
    <w:p>
      <w:r/>
      <w:r>
        <w:rPr>
          <w:b/>
        </w:rPr>
        <w:t>Estratégia:</w:t>
      </w:r>
      <w:r>
        <w:t xml:space="preserve"> ACEITAR com monitoramento</w:t>
      </w:r>
    </w:p>
    <w:p/>
    <w:p>
      <w:r/>
      <w:r>
        <w:rPr>
          <w:b/>
        </w:rPr>
        <w:t>Trigger:</w:t>
      </w:r>
      <w:r>
        <w:t xml:space="preserve"> Equipe CP recusa participação no UAT ou treinamento sem justificativa.</w:t>
      </w:r>
    </w:p>
    <w:p/>
    <w:p>
      <w:r/>
      <w:r>
        <w:rPr>
          <w:b/>
        </w:rPr>
        <w:t>Ações:</w:t>
      </w:r>
      <w:r>
        <w:t xml:space="preserve"> Comunicação antecipada dos benefícios para a equipe. Noemia como facilitadora</w:t>
      </w:r>
    </w:p>
    <w:p>
      <w:r>
        <w:t>da participação. Treinamento de duração máxima de 0,5 dia para minimizar impacto operacional.</w:t>
      </w:r>
    </w:p>
    <w:p/>
    <w:p>
      <w:r/>
      <w:r>
        <w:rPr>
          <w:b/>
        </w:rPr>
        <w:t>Responsável:</w:t>
      </w:r>
      <w:r>
        <w:t xml:space="preserve"> Noemia Tambara + GP</w:t>
      </w:r>
    </w:p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rPr>
          <w:rFonts w:ascii="Calibri" w:hAnsi="Calibri"/>
          <w:b/>
          <w:i w:val="0"/>
          <w:color w:val="2A4A7F"/>
          <w:sz w:val="22"/>
        </w:rPr>
        <w:t>R-008 — Layout CNAB 240 Santander diverge da Divisão Logística</w:t>
      </w:r>
    </w:p>
    <w:p>
      <w:r/>
      <w:r>
        <w:rPr>
          <w:b/>
        </w:rPr>
        <w:t>Nível:</w:t>
      </w:r>
      <w:r>
        <w:t xml:space="preserve"> MÉDIO | P: 3 | I: 6 | Score: 18</w:t>
      </w:r>
    </w:p>
    <w:p>
      <w:r/>
      <w:r>
        <w:rPr>
          <w:b/>
        </w:rPr>
        <w:t>Estratégia:</w:t>
      </w:r>
      <w:r>
        <w:t xml:space="preserve"> MITIGAR</w:t>
      </w:r>
    </w:p>
    <w:p/>
    <w:p>
      <w:r/>
      <w:r>
        <w:rPr>
          <w:b/>
        </w:rPr>
        <w:t>Trigger:</w:t>
      </w:r>
      <w:r>
        <w:t xml:space="preserve"> Layout CNAB 240 enviado pelo Santander para a conta VAB difere do que está</w:t>
      </w:r>
    </w:p>
    <w:p>
      <w:r>
        <w:t>configurado no sistema da Divisão Logística (campos adicionais, posições diferentes).</w:t>
      </w:r>
    </w:p>
    <w:p/>
    <w:p>
      <w:r/>
      <w:r>
        <w:rPr>
          <w:b/>
        </w:rPr>
        <w:t>Ações de mitigação:</w:t>
      </w:r>
      <w:r>
        <w:t xml:space="preserve"> Solicitar ao Santander o manual do layout CNAB 240 DDA antes do início</w:t>
      </w:r>
    </w:p>
    <w:p>
      <w:r>
        <w:t>da configuração. Comparar com o layout da Div. Logística durante o levantamento (2.1).</w:t>
      </w:r>
    </w:p>
    <w:p/>
    <w:p>
      <w:r/>
      <w:r>
        <w:rPr>
          <w:b/>
        </w:rPr>
        <w:t>Plano de contingência:</w:t>
      </w:r>
      <w:r>
        <w:t xml:space="preserve"> Divergência pequena → ajuste de mapeamento CNAB (+3–5 dias).</w:t>
      </w:r>
    </w:p>
    <w:p>
      <w:r>
        <w:t>Divergência grande → avaliar desenvolvimento ABAP (aciona R-002 e potencialmente R-001).</w:t>
      </w:r>
    </w:p>
    <w:p/>
    <w:p>
      <w:r/>
      <w:r>
        <w:rPr>
          <w:b/>
        </w:rPr>
        <w:t>Responsável:</w:t>
      </w:r>
      <w:r>
        <w:t xml:space="preserve"> Recurso técnico DTI</w:t>
      </w:r>
    </w:p>
    <w:p>
      <w:r/>
      <w:r>
        <w:rPr>
          <w:b/>
        </w:rPr>
        <w:t>Prazo de mitigação:</w:t>
      </w:r>
      <w:r>
        <w:t xml:space="preserve"> M-1 (27/06/2026)</w:t>
      </w:r>
    </w:p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rPr>
          <w:rFonts w:ascii="Calibri" w:hAnsi="Calibri"/>
          <w:b/>
          <w:i w:val="0"/>
          <w:color w:val="2A4A7F"/>
          <w:sz w:val="22"/>
        </w:rPr>
        <w:t>R-009 — Scope creep durante o levantamento técnico</w:t>
      </w:r>
    </w:p>
    <w:p>
      <w:r/>
      <w:r>
        <w:rPr>
          <w:b/>
        </w:rPr>
        <w:t>Nível:</w:t>
      </w:r>
      <w:r>
        <w:t xml:space="preserve"> MÉDIO | P: 4 | I: 5 | Score: 20</w:t>
      </w:r>
    </w:p>
    <w:p>
      <w:r/>
      <w:r>
        <w:rPr>
          <w:b/>
        </w:rPr>
        <w:t>Estratégia:</w:t>
      </w:r>
      <w:r>
        <w:t xml:space="preserve"> MITIGAR</w:t>
      </w:r>
    </w:p>
    <w:p/>
    <w:p>
      <w:r/>
      <w:r>
        <w:rPr>
          <w:b/>
        </w:rPr>
        <w:t>Trigger:</w:t>
      </w:r>
      <w:r>
        <w:t xml:space="preserve"> Noemia ou equipe CP solicita funcionalidades adicionais durante o levantamento</w:t>
      </w:r>
    </w:p>
    <w:p>
      <w:r>
        <w:t>(ex: integração com outros bancos, relatórios extras, automação adicional de AP).</w:t>
      </w:r>
    </w:p>
    <w:p/>
    <w:p>
      <w:r/>
      <w:r>
        <w:rPr>
          <w:b/>
        </w:rPr>
        <w:t>Ações de mitigação:</w:t>
      </w:r>
      <w:r>
        <w:t xml:space="preserve"> TAP com escopo excluso explícito. GP responsável por documentar</w:t>
      </w:r>
    </w:p>
    <w:p>
      <w:r>
        <w:t>qualquer solicitação fora do escopo e tratar como Change Request. Noemia ciente do escopo</w:t>
      </w:r>
    </w:p>
    <w:p>
      <w:r>
        <w:t>delimitado antes do início do levantamento.</w:t>
      </w:r>
    </w:p>
    <w:p/>
    <w:p>
      <w:r/>
      <w:r>
        <w:rPr>
          <w:b/>
        </w:rPr>
        <w:t>Responsável:</w:t>
      </w:r>
      <w:r>
        <w:t xml:space="preserve"> GP</w:t>
      </w:r>
    </w:p>
    <w:p>
      <w:r/>
      <w:r>
        <w:rPr>
          <w:b/>
        </w:rPr>
        <w:t>Prazo:</w:t>
      </w:r>
      <w:r>
        <w:t xml:space="preserve"> Monitoramento durante toda a Fase 2</w:t>
      </w:r>
    </w:p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rPr>
          <w:rFonts w:ascii="Calibri" w:hAnsi="Calibri"/>
          <w:b/>
          <w:i w:val="0"/>
          <w:color w:val="2A4A7F"/>
          <w:sz w:val="22"/>
        </w:rPr>
        <w:t>R-010 — Encerramento sem documentação técnica</w:t>
      </w:r>
    </w:p>
    <w:p>
      <w:r/>
      <w:r>
        <w:rPr>
          <w:b/>
        </w:rPr>
        <w:t>Nível:</w:t>
      </w:r>
      <w:r>
        <w:t xml:space="preserve"> MÉDIO | P: 2 | I: 5 | Score: 10</w:t>
      </w:r>
    </w:p>
    <w:p>
      <w:r/>
      <w:r>
        <w:rPr>
          <w:b/>
        </w:rPr>
        <w:t>Estratégia:</w:t>
      </w:r>
      <w:r>
        <w:t xml:space="preserve"> MITIGAR</w:t>
      </w:r>
    </w:p>
    <w:p/>
    <w:p>
      <w:r/>
      <w:r>
        <w:rPr>
          <w:b/>
        </w:rPr>
        <w:t>Trigger:</w:t>
      </w:r>
      <w:r>
        <w:t xml:space="preserve"> Go-live ocorre mas E-09 (documentação técnica) não é entregue antes do encerramento.</w:t>
      </w:r>
    </w:p>
    <w:p/>
    <w:p>
      <w:r/>
      <w:r>
        <w:rPr>
          <w:b/>
        </w:rPr>
        <w:t>Ações de mitigação:</w:t>
      </w:r>
      <w:r>
        <w:t xml:space="preserve"> E-09 é critério de aceite do encerramento — sem documentação não há</w:t>
      </w:r>
    </w:p>
    <w:p>
      <w:r>
        <w:t>aceite formal. Documentação iniciada durante a fase de configuração (não somente ao final).</w:t>
      </w:r>
    </w:p>
    <w:p/>
    <w:p>
      <w:r/>
      <w:r>
        <w:rPr>
          <w:b/>
        </w:rPr>
        <w:t>Responsável:</w:t>
      </w:r>
      <w:r>
        <w:t xml:space="preserve"> Recurso técnico DTI + GP</w:t>
      </w:r>
    </w:p>
    <w:p>
      <w:r/>
      <w:r>
        <w:rPr>
          <w:b/>
        </w:rPr>
        <w:t>Prazo:</w:t>
      </w:r>
      <w:r>
        <w:t xml:space="preserve"> Entregue antes da reunião de encerramento (M-6)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Reserva de Contingência Calculada</w:t>
      </w:r>
    </w:p>
    <w:p/>
    <w:tbl>
      <w:tblPr>
        <w:tblStyle w:val="TableGrid"/>
        <w:tblLook w:firstColumn="1" w:firstRow="1" w:lastColumn="0" w:lastRow="0" w:noHBand="0" w:noVBand="1" w:val="04A0"/>
        <w:tblW w:w="8900" w:type="dxa"/>
        <w:tblLayout w:type="fixed"/>
      </w:tblPr>
      <w:tblGrid>
        <w:gridCol w:w="1780"/>
        <w:gridCol w:w="1780"/>
        <w:gridCol w:w="1780"/>
        <w:gridCol w:w="1780"/>
        <w:gridCol w:w="1780"/>
      </w:tblGrid>
      <w:tr>
        <w:tc>
          <w:tcPr>
            <w:tcW w:w="1780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1780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Risco</w:t>
            </w:r>
          </w:p>
        </w:tc>
        <w:tc>
          <w:tcPr>
            <w:tcW w:w="1780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Probabilidade</w:t>
            </w:r>
          </w:p>
        </w:tc>
        <w:tc>
          <w:tcPr>
            <w:tcW w:w="1780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Impacto (dias)</w:t>
            </w:r>
          </w:p>
        </w:tc>
        <w:tc>
          <w:tcPr>
            <w:tcW w:w="1780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Valor Esperado (dias)</w:t>
            </w:r>
          </w:p>
        </w:tc>
      </w:tr>
      <w:tr>
        <w:tc>
          <w:tcPr>
            <w:tcW w:w="1780" w:type="dxa"/>
          </w:tcPr>
          <w:p>
            <w:r>
              <w:rPr>
                <w:sz w:val="19"/>
              </w:rPr>
              <w:t>R-001</w:t>
            </w:r>
          </w:p>
        </w:tc>
        <w:tc>
          <w:tcPr>
            <w:tcW w:w="1780" w:type="dxa"/>
          </w:tcPr>
          <w:p>
            <w:r>
              <w:rPr>
                <w:sz w:val="19"/>
              </w:rPr>
              <w:t>Autorização Holding</w:t>
            </w:r>
          </w:p>
        </w:tc>
        <w:tc>
          <w:tcPr>
            <w:tcW w:w="1780" w:type="dxa"/>
          </w:tcPr>
          <w:p>
            <w:r>
              <w:rPr>
                <w:sz w:val="19"/>
              </w:rPr>
              <w:t>0,7</w:t>
            </w:r>
          </w:p>
        </w:tc>
        <w:tc>
          <w:tcPr>
            <w:tcW w:w="1780" w:type="dxa"/>
          </w:tcPr>
          <w:p>
            <w:r>
              <w:rPr>
                <w:sz w:val="19"/>
              </w:rPr>
              <w:t>15 dias de parada</w:t>
            </w:r>
          </w:p>
        </w:tc>
        <w:tc>
          <w:tcPr>
            <w:tcW w:w="1780" w:type="dxa"/>
          </w:tcPr>
          <w:p>
            <w:r>
              <w:rPr>
                <w:sz w:val="19"/>
              </w:rPr>
              <w:t>10,5 dias</w:t>
            </w:r>
          </w:p>
        </w:tc>
      </w:tr>
      <w:tr>
        <w:tc>
          <w:tcPr>
            <w:tcW w:w="1780" w:type="dxa"/>
            <w:shd w:val="clear" w:color="auto" w:fill="F0F5FB"/>
          </w:tcPr>
          <w:p>
            <w:r>
              <w:rPr>
                <w:sz w:val="19"/>
              </w:rPr>
              <w:t>R-002</w:t>
            </w:r>
          </w:p>
        </w:tc>
        <w:tc>
          <w:tcPr>
            <w:tcW w:w="1780" w:type="dxa"/>
            <w:shd w:val="clear" w:color="auto" w:fill="F0F5FB"/>
          </w:tcPr>
          <w:p>
            <w:r>
              <w:rPr>
                <w:sz w:val="19"/>
              </w:rPr>
              <w:t>Ajustes complexos ABAP</w:t>
            </w:r>
          </w:p>
        </w:tc>
        <w:tc>
          <w:tcPr>
            <w:tcW w:w="1780" w:type="dxa"/>
            <w:shd w:val="clear" w:color="auto" w:fill="F0F5FB"/>
          </w:tcPr>
          <w:p>
            <w:r>
              <w:rPr>
                <w:sz w:val="19"/>
              </w:rPr>
              <w:t>0,5</w:t>
            </w:r>
          </w:p>
        </w:tc>
        <w:tc>
          <w:tcPr>
            <w:tcW w:w="1780" w:type="dxa"/>
            <w:shd w:val="clear" w:color="auto" w:fill="F0F5FB"/>
          </w:tcPr>
          <w:p>
            <w:r>
              <w:rPr>
                <w:sz w:val="19"/>
              </w:rPr>
              <w:t>20 dias</w:t>
            </w:r>
          </w:p>
        </w:tc>
        <w:tc>
          <w:tcPr>
            <w:tcW w:w="1780" w:type="dxa"/>
            <w:shd w:val="clear" w:color="auto" w:fill="F0F5FB"/>
          </w:tcPr>
          <w:p>
            <w:r>
              <w:rPr>
                <w:sz w:val="19"/>
              </w:rPr>
              <w:t>10,0 dias</w:t>
            </w:r>
          </w:p>
        </w:tc>
      </w:tr>
      <w:tr>
        <w:tc>
          <w:tcPr>
            <w:tcW w:w="1780" w:type="dxa"/>
          </w:tcPr>
          <w:p>
            <w:r>
              <w:rPr>
                <w:sz w:val="19"/>
              </w:rPr>
              <w:t>R-003</w:t>
            </w:r>
          </w:p>
        </w:tc>
        <w:tc>
          <w:tcPr>
            <w:tcW w:w="1780" w:type="dxa"/>
          </w:tcPr>
          <w:p>
            <w:r>
              <w:rPr>
                <w:sz w:val="19"/>
              </w:rPr>
              <w:t>Santander demorado</w:t>
            </w:r>
          </w:p>
        </w:tc>
        <w:tc>
          <w:tcPr>
            <w:tcW w:w="1780" w:type="dxa"/>
          </w:tcPr>
          <w:p>
            <w:r>
              <w:rPr>
                <w:sz w:val="19"/>
              </w:rPr>
              <w:t>0,5</w:t>
            </w:r>
          </w:p>
        </w:tc>
        <w:tc>
          <w:tcPr>
            <w:tcW w:w="1780" w:type="dxa"/>
          </w:tcPr>
          <w:p>
            <w:r>
              <w:rPr>
                <w:sz w:val="19"/>
              </w:rPr>
              <w:t>10 dias</w:t>
            </w:r>
          </w:p>
        </w:tc>
        <w:tc>
          <w:tcPr>
            <w:tcW w:w="1780" w:type="dxa"/>
          </w:tcPr>
          <w:p>
            <w:r>
              <w:rPr>
                <w:sz w:val="19"/>
              </w:rPr>
              <w:t>5,0 dias</w:t>
            </w:r>
          </w:p>
        </w:tc>
      </w:tr>
      <w:tr>
        <w:tc>
          <w:tcPr>
            <w:tcW w:w="1780" w:type="dxa"/>
            <w:shd w:val="clear" w:color="auto" w:fill="F0F5FB"/>
          </w:tcPr>
          <w:p>
            <w:r>
              <w:rPr>
                <w:sz w:val="19"/>
              </w:rPr>
              <w:t>R-004</w:t>
            </w:r>
          </w:p>
        </w:tc>
        <w:tc>
          <w:tcPr>
            <w:tcW w:w="1780" w:type="dxa"/>
            <w:shd w:val="clear" w:color="auto" w:fill="F0F5FB"/>
          </w:tcPr>
          <w:p>
            <w:r>
              <w:rPr>
                <w:sz w:val="19"/>
              </w:rPr>
              <w:t>Ambiente SAP divergente</w:t>
            </w:r>
          </w:p>
        </w:tc>
        <w:tc>
          <w:tcPr>
            <w:tcW w:w="1780" w:type="dxa"/>
            <w:shd w:val="clear" w:color="auto" w:fill="F0F5FB"/>
          </w:tcPr>
          <w:p>
            <w:r>
              <w:rPr>
                <w:sz w:val="19"/>
              </w:rPr>
              <w:t>0,3</w:t>
            </w:r>
          </w:p>
        </w:tc>
        <w:tc>
          <w:tcPr>
            <w:tcW w:w="1780" w:type="dxa"/>
            <w:shd w:val="clear" w:color="auto" w:fill="F0F5FB"/>
          </w:tcPr>
          <w:p>
            <w:r>
              <w:rPr>
                <w:sz w:val="19"/>
              </w:rPr>
              <w:t>5 dias</w:t>
            </w:r>
          </w:p>
        </w:tc>
        <w:tc>
          <w:tcPr>
            <w:tcW w:w="1780" w:type="dxa"/>
            <w:shd w:val="clear" w:color="auto" w:fill="F0F5FB"/>
          </w:tcPr>
          <w:p>
            <w:r>
              <w:rPr>
                <w:sz w:val="19"/>
              </w:rPr>
              <w:t>1,5 dias</w:t>
            </w:r>
          </w:p>
        </w:tc>
      </w:tr>
      <w:tr>
        <w:tc>
          <w:tcPr>
            <w:tcW w:w="1780" w:type="dxa"/>
          </w:tcPr>
          <w:p>
            <w:r>
              <w:rPr>
                <w:sz w:val="19"/>
              </w:rPr>
              <w:t>R-005</w:t>
            </w:r>
          </w:p>
        </w:tc>
        <w:tc>
          <w:tcPr>
            <w:tcW w:w="1780" w:type="dxa"/>
          </w:tcPr>
          <w:p>
            <w:r>
              <w:rPr>
                <w:sz w:val="19"/>
              </w:rPr>
              <w:t>Sponsor sem alçada</w:t>
            </w:r>
          </w:p>
        </w:tc>
        <w:tc>
          <w:tcPr>
            <w:tcW w:w="1780" w:type="dxa"/>
          </w:tcPr>
          <w:p>
            <w:r>
              <w:rPr>
                <w:sz w:val="19"/>
              </w:rPr>
              <w:t>0,5</w:t>
            </w:r>
          </w:p>
        </w:tc>
        <w:tc>
          <w:tcPr>
            <w:tcW w:w="1780" w:type="dxa"/>
          </w:tcPr>
          <w:p>
            <w:r>
              <w:rPr>
                <w:sz w:val="19"/>
              </w:rPr>
              <w:t>10 dias</w:t>
            </w:r>
          </w:p>
        </w:tc>
        <w:tc>
          <w:tcPr>
            <w:tcW w:w="1780" w:type="dxa"/>
          </w:tcPr>
          <w:p>
            <w:r>
              <w:rPr>
                <w:sz w:val="19"/>
              </w:rPr>
              <w:t>5,0 dias</w:t>
            </w:r>
          </w:p>
        </w:tc>
      </w:tr>
      <w:tr>
        <w:tc>
          <w:tcPr>
            <w:tcW w:w="1780" w:type="dxa"/>
            <w:shd w:val="clear" w:color="auto" w:fill="F0F5FB"/>
          </w:tcPr>
          <w:p>
            <w:r>
              <w:rPr>
                <w:sz w:val="19"/>
              </w:rPr>
              <w:t>R-006</w:t>
            </w:r>
          </w:p>
        </w:tc>
        <w:tc>
          <w:tcPr>
            <w:tcW w:w="1780" w:type="dxa"/>
            <w:shd w:val="clear" w:color="auto" w:fill="F0F5FB"/>
          </w:tcPr>
          <w:p>
            <w:r>
              <w:rPr>
                <w:sz w:val="19"/>
              </w:rPr>
              <w:t>Recurso inadequado</w:t>
            </w:r>
          </w:p>
        </w:tc>
        <w:tc>
          <w:tcPr>
            <w:tcW w:w="1780" w:type="dxa"/>
            <w:shd w:val="clear" w:color="auto" w:fill="F0F5FB"/>
          </w:tcPr>
          <w:p>
            <w:r>
              <w:rPr>
                <w:sz w:val="19"/>
              </w:rPr>
              <w:t>0,4</w:t>
            </w:r>
          </w:p>
        </w:tc>
        <w:tc>
          <w:tcPr>
            <w:tcW w:w="1780" w:type="dxa"/>
            <w:shd w:val="clear" w:color="auto" w:fill="F0F5FB"/>
          </w:tcPr>
          <w:p>
            <w:r>
              <w:rPr>
                <w:sz w:val="19"/>
              </w:rPr>
              <w:t>7 dias</w:t>
            </w:r>
          </w:p>
        </w:tc>
        <w:tc>
          <w:tcPr>
            <w:tcW w:w="1780" w:type="dxa"/>
            <w:shd w:val="clear" w:color="auto" w:fill="F0F5FB"/>
          </w:tcPr>
          <w:p>
            <w:r>
              <w:rPr>
                <w:sz w:val="19"/>
              </w:rPr>
              <w:t>2,8 dias</w:t>
            </w:r>
          </w:p>
        </w:tc>
      </w:tr>
      <w:tr>
        <w:tc>
          <w:tcPr>
            <w:tcW w:w="1780" w:type="dxa"/>
          </w:tcPr>
          <w:p>
            <w:r>
              <w:rPr>
                <w:sz w:val="19"/>
              </w:rPr>
              <w:t>R-008</w:t>
            </w:r>
          </w:p>
        </w:tc>
        <w:tc>
          <w:tcPr>
            <w:tcW w:w="1780" w:type="dxa"/>
          </w:tcPr>
          <w:p>
            <w:r>
              <w:rPr>
                <w:sz w:val="19"/>
              </w:rPr>
              <w:t>CNAB divergente</w:t>
            </w:r>
          </w:p>
        </w:tc>
        <w:tc>
          <w:tcPr>
            <w:tcW w:w="1780" w:type="dxa"/>
          </w:tcPr>
          <w:p>
            <w:r>
              <w:rPr>
                <w:sz w:val="19"/>
              </w:rPr>
              <w:t>0,3</w:t>
            </w:r>
          </w:p>
        </w:tc>
        <w:tc>
          <w:tcPr>
            <w:tcW w:w="1780" w:type="dxa"/>
          </w:tcPr>
          <w:p>
            <w:r>
              <w:rPr>
                <w:sz w:val="19"/>
              </w:rPr>
              <w:t>5 dias</w:t>
            </w:r>
          </w:p>
        </w:tc>
        <w:tc>
          <w:tcPr>
            <w:tcW w:w="1780" w:type="dxa"/>
          </w:tcPr>
          <w:p>
            <w:r>
              <w:rPr>
                <w:sz w:val="19"/>
              </w:rPr>
              <w:t>1,5 dias</w:t>
            </w:r>
          </w:p>
        </w:tc>
      </w:tr>
      <w:tr>
        <w:tc>
          <w:tcPr>
            <w:tcW w:w="1780" w:type="dxa"/>
            <w:shd w:val="clear" w:color="auto" w:fill="F0F5FB"/>
          </w:tcPr>
          <w:p>
            <w:r>
              <w:rPr>
                <w:sz w:val="19"/>
              </w:rPr>
              <w:t>R-009</w:t>
            </w:r>
          </w:p>
        </w:tc>
        <w:tc>
          <w:tcPr>
            <w:tcW w:w="1780" w:type="dxa"/>
            <w:shd w:val="clear" w:color="auto" w:fill="F0F5FB"/>
          </w:tcPr>
          <w:p>
            <w:r>
              <w:rPr>
                <w:sz w:val="19"/>
              </w:rPr>
              <w:t>Scope creep</w:t>
            </w:r>
          </w:p>
        </w:tc>
        <w:tc>
          <w:tcPr>
            <w:tcW w:w="1780" w:type="dxa"/>
            <w:shd w:val="clear" w:color="auto" w:fill="F0F5FB"/>
          </w:tcPr>
          <w:p>
            <w:r>
              <w:rPr>
                <w:sz w:val="19"/>
              </w:rPr>
              <w:t>0,4</w:t>
            </w:r>
          </w:p>
        </w:tc>
        <w:tc>
          <w:tcPr>
            <w:tcW w:w="1780" w:type="dxa"/>
            <w:shd w:val="clear" w:color="auto" w:fill="F0F5FB"/>
          </w:tcPr>
          <w:p>
            <w:r>
              <w:rPr>
                <w:sz w:val="19"/>
              </w:rPr>
              <w:t>5 dias</w:t>
            </w:r>
          </w:p>
        </w:tc>
        <w:tc>
          <w:tcPr>
            <w:tcW w:w="1780" w:type="dxa"/>
            <w:shd w:val="clear" w:color="auto" w:fill="F0F5FB"/>
          </w:tcPr>
          <w:p>
            <w:r>
              <w:rPr>
                <w:sz w:val="19"/>
              </w:rPr>
              <w:t>2,0 dias</w:t>
            </w:r>
          </w:p>
        </w:tc>
      </w:tr>
      <w:tr>
        <w:tc>
          <w:tcPr>
            <w:tcW w:w="1780" w:type="dxa"/>
          </w:tcPr>
          <w:p>
            <w:r>
              <w:rPr>
                <w:sz w:val="19"/>
              </w:rPr>
              <w:t>TOTAL</w:t>
            </w:r>
          </w:p>
        </w:tc>
        <w:tc>
          <w:tcPr>
            <w:tcW w:w="1780" w:type="dxa"/>
          </w:tcPr>
          <w:p>
            <w:r>
              <w:rPr>
                <w:sz w:val="19"/>
              </w:rPr>
            </w:r>
          </w:p>
        </w:tc>
        <w:tc>
          <w:tcPr>
            <w:tcW w:w="1780" w:type="dxa"/>
          </w:tcPr>
          <w:p>
            <w:r>
              <w:rPr>
                <w:sz w:val="19"/>
              </w:rPr>
            </w:r>
          </w:p>
        </w:tc>
        <w:tc>
          <w:tcPr>
            <w:tcW w:w="1780" w:type="dxa"/>
          </w:tcPr>
          <w:p>
            <w:r>
              <w:rPr>
                <w:sz w:val="19"/>
              </w:rPr>
            </w:r>
          </w:p>
        </w:tc>
        <w:tc>
          <w:tcPr>
            <w:tcW w:w="1780" w:type="dxa"/>
          </w:tcPr>
          <w:p>
            <w:r>
              <w:rPr>
                <w:sz w:val="19"/>
              </w:rPr>
              <w:t>38,3 dias</w:t>
            </w:r>
          </w:p>
        </w:tc>
      </w:tr>
    </w:tbl>
    <w:p/>
    <w:p>
      <w:pPr>
        <w:ind w:left="454"/>
      </w:pPr>
      <w:r>
        <w:rPr>
          <w:color w:val="333333"/>
          <w:sz w:val="20"/>
        </w:rPr>
      </w:r>
      <w:r>
        <w:rPr>
          <w:b/>
          <w:color w:val="333333"/>
          <w:sz w:val="20"/>
        </w:rPr>
        <w:t>Interpretação:</w:t>
      </w:r>
      <w:r>
        <w:rPr>
          <w:color w:val="333333"/>
          <w:sz w:val="20"/>
        </w:rPr>
        <w:t xml:space="preserve"> O valor esperado de impacto em prazo, considerando todos os riscos, é</w:t>
      </w:r>
    </w:p>
    <w:p>
      <w:pPr>
        <w:ind w:left="454"/>
      </w:pPr>
      <w:r>
        <w:rPr>
          <w:color w:val="333333"/>
          <w:sz w:val="20"/>
        </w:rPr>
        <w:t>de ~38 dias. O buffer de contingência do cronograma (setembro 2026 = ~26 dias úteis após</w:t>
      </w:r>
    </w:p>
    <w:p>
      <w:pPr>
        <w:ind w:left="454"/>
      </w:pPr>
      <w:r>
        <w:rPr>
          <w:color w:val="333333"/>
          <w:sz w:val="20"/>
        </w:rPr>
        <w:t>go-live base de 25/08) cobre parcialmente este valor. Os riscos CRÍTICO (R-001) e ALTO</w:t>
      </w:r>
    </w:p>
    <w:p>
      <w:pPr>
        <w:ind w:left="454"/>
      </w:pPr>
      <w:r>
        <w:rPr>
          <w:color w:val="333333"/>
          <w:sz w:val="20"/>
        </w:rPr>
        <w:t>(R-002, R-005) têm potencial de exceder o buffer se materializarem simultaneamente.</w:t>
      </w:r>
    </w:p>
    <w:p/>
    <w:p>
      <w:r/>
      <w:r>
        <w:rPr>
          <w:b/>
        </w:rPr>
        <w:t>Recomendação de reserva financeira:</w:t>
      </w:r>
      <w:r>
        <w:t xml:space="preserve"> R$2.000 (reserva orçamentária aprovada no TAP).</w:t>
      </w:r>
    </w:p>
    <w:p>
      <w:r>
        <w:t>Se R-001 ou R-002 materializarem com custo externo: nova autorização obrigatória antes de</w:t>
      </w:r>
    </w:p>
    <w:p>
      <w:r>
        <w:t>qualquer gasto (não coberto pela reserva — requer CR formal).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Revisão de Riscos</w:t>
      </w:r>
    </w:p>
    <w:p/>
    <w:tbl>
      <w:tblPr>
        <w:tblStyle w:val="TableGrid"/>
        <w:tblLook w:firstColumn="1" w:firstRow="1" w:lastColumn="0" w:lastRow="0" w:noHBand="0" w:noVBand="1" w:val="04A0"/>
        <w:tblW w:w="8901" w:type="dxa"/>
        <w:tblLayout w:type="fixed"/>
      </w:tblPr>
      <w:tblGrid>
        <w:gridCol w:w="2967"/>
        <w:gridCol w:w="2967"/>
        <w:gridCol w:w="2967"/>
      </w:tblGrid>
      <w:tr>
        <w:tc>
          <w:tcPr>
            <w:tcW w:w="2967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Quando</w:t>
            </w:r>
          </w:p>
        </w:tc>
        <w:tc>
          <w:tcPr>
            <w:tcW w:w="2967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Evento</w:t>
            </w:r>
          </w:p>
        </w:tc>
        <w:tc>
          <w:tcPr>
            <w:tcW w:w="2967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Responsável</w:t>
            </w:r>
          </w:p>
        </w:tc>
      </w:tr>
      <w:tr>
        <w:tc>
          <w:tcPr>
            <w:tcW w:w="2967" w:type="dxa"/>
          </w:tcPr>
          <w:p>
            <w:r>
              <w:rPr>
                <w:sz w:val="19"/>
              </w:rPr>
              <w:t>Gate de Kick-off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Verificar R-001, R-002, R-005, R-006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GP + Gabriel Governança</w:t>
            </w:r>
          </w:p>
        </w:tc>
      </w:tr>
      <w:tr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M-1 (27/06)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Verificar R-002, R-004, R-008 (pós-levantamento técnico)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GP</w:t>
            </w:r>
          </w:p>
        </w:tc>
      </w:tr>
      <w:tr>
        <w:tc>
          <w:tcPr>
            <w:tcW w:w="2967" w:type="dxa"/>
          </w:tcPr>
          <w:p>
            <w:r>
              <w:rPr>
                <w:sz w:val="19"/>
              </w:rPr>
              <w:t>M-2 (18/07)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Verificar R-003 (habilitação Santander)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GP + Noemia</w:t>
            </w:r>
          </w:p>
        </w:tc>
      </w:tr>
      <w:tr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M-4 (15/08)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Verificar R-009, R-010 pós-UAT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GP</w:t>
            </w:r>
          </w:p>
        </w:tc>
      </w:tr>
      <w:tr>
        <w:tc>
          <w:tcPr>
            <w:tcW w:w="2967" w:type="dxa"/>
          </w:tcPr>
          <w:p>
            <w:r>
              <w:rPr>
                <w:sz w:val="19"/>
              </w:rPr>
              <w:t>Quinzenal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Revisão geral do registro de riscos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GP</w:t>
            </w:r>
          </w:p>
        </w:tc>
      </w:tr>
      <w:tr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Evento de materialização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Notificação imediata ao sponsor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GP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