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i w:val="0"/>
          <w:color w:val="1A3A5C"/>
          <w:sz w:val="30"/>
        </w:rPr>
        <w:t>Relatório de Revisão de Qualidade — DEM-2026-007</w:t>
      </w:r>
    </w:p>
    <w:p>
      <w:r>
        <w:t>Projeto: Implantação DDA SAP — VAB Matriz</w:t>
      </w:r>
    </w:p>
    <w:p>
      <w:r>
        <w:t>Elaborado por: Vera Veredito (VMO Autônomo)</w:t>
      </w:r>
    </w:p>
    <w:p>
      <w:r>
        <w:t>Data: 2026-05-20</w:t>
      </w:r>
    </w:p>
    <w:p>
      <w:r>
        <w:t>Revisão: 1 de 3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rFonts w:ascii="Calibri" w:hAnsi="Calibri"/>
          <w:b/>
          <w:i w:val="0"/>
          <w:color w:val="1E5296"/>
          <w:sz w:val="25"/>
        </w:rPr>
        <w:t>Resultado: 🟡 APROVADO COM CONDIÇÕES</w:t>
      </w:r>
    </w:p>
    <w:p/>
    <w:p>
      <w:pPr>
        <w:pStyle w:val="Heading2"/>
      </w:pPr>
      <w:r>
        <w:rPr>
          <w:rFonts w:ascii="Calibri" w:hAnsi="Calibri"/>
          <w:b/>
          <w:i w:val="0"/>
          <w:color w:val="1E5296"/>
          <w:sz w:val="25"/>
        </w:rPr>
        <w:t>Pontuação Consolidada: 8,30/10</w:t>
      </w:r>
    </w:p>
    <w:p/>
    <w:tbl>
      <w:tblPr>
        <w:tblStyle w:val="TableGrid"/>
        <w:tblLook w:firstColumn="1" w:firstRow="1" w:lastColumn="0" w:lastRow="0" w:noHBand="0" w:noVBand="1" w:val="04A0"/>
        <w:tblW w:w="8900" w:type="dxa"/>
        <w:tblLayout w:type="fixed"/>
      </w:tblPr>
      <w:tblGrid>
        <w:gridCol w:w="2225"/>
        <w:gridCol w:w="2225"/>
        <w:gridCol w:w="2225"/>
        <w:gridCol w:w="2225"/>
      </w:tblGrid>
      <w:tr>
        <w:tc>
          <w:tcPr>
            <w:tcW w:w="2225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Documento</w:t>
            </w:r>
          </w:p>
        </w:tc>
        <w:tc>
          <w:tcPr>
            <w:tcW w:w="2225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w="2225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Pontuação</w:t>
            </w:r>
          </w:p>
        </w:tc>
        <w:tc>
          <w:tcPr>
            <w:tcW w:w="2225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w="2225" w:type="dxa"/>
          </w:tcPr>
          <w:p>
            <w:r>
              <w:rPr>
                <w:sz w:val="19"/>
              </w:rPr>
              <w:t>TAP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25%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8,0/10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🟡 Aprovado com condições</w:t>
            </w:r>
          </w:p>
        </w:tc>
      </w:tr>
      <w:tr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PM Canvas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10%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8,0/10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✅ Aprovado</w:t>
            </w:r>
          </w:p>
        </w:tc>
      </w:tr>
      <w:tr>
        <w:tc>
          <w:tcPr>
            <w:tcW w:w="2225" w:type="dxa"/>
          </w:tcPr>
          <w:p>
            <w:r>
              <w:rPr>
                <w:sz w:val="19"/>
              </w:rPr>
              <w:t>ERF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15%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9,0/10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✅ Aprovado</w:t>
            </w:r>
          </w:p>
        </w:tc>
      </w:tr>
      <w:tr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Cronograma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20%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8,0/10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🟡 Aprovado com condições</w:t>
            </w:r>
          </w:p>
        </w:tc>
      </w:tr>
      <w:tr>
        <w:tc>
          <w:tcPr>
            <w:tcW w:w="2225" w:type="dxa"/>
          </w:tcPr>
          <w:p>
            <w:r>
              <w:rPr>
                <w:sz w:val="19"/>
              </w:rPr>
              <w:t>Plano de Riscos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15%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9,0/10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✅ Aprovado</w:t>
            </w:r>
          </w:p>
        </w:tc>
      </w:tr>
      <w:tr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Framework de KPIs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10%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8,0/10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✅ Aprovado</w:t>
            </w:r>
          </w:p>
        </w:tc>
      </w:tr>
      <w:tr>
        <w:tc>
          <w:tcPr>
            <w:tcW w:w="2225" w:type="dxa"/>
          </w:tcPr>
          <w:p>
            <w:r>
              <w:rPr>
                <w:sz w:val="19"/>
              </w:rPr>
              <w:t>Status Report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5%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8,0/10</w:t>
            </w:r>
          </w:p>
        </w:tc>
        <w:tc>
          <w:tcPr>
            <w:tcW w:w="2225" w:type="dxa"/>
          </w:tcPr>
          <w:p>
            <w:r>
              <w:rPr>
                <w:sz w:val="19"/>
              </w:rPr>
              <w:t>🟡 Aprovado com condições</w:t>
            </w:r>
          </w:p>
        </w:tc>
      </w:tr>
      <w:tr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CONSOLIDADO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100%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8,30/10</w:t>
            </w:r>
          </w:p>
        </w:tc>
        <w:tc>
          <w:tcPr>
            <w:tcW w:w="2225" w:type="dxa"/>
            <w:shd w:val="clear" w:color="auto" w:fill="F0F5FB"/>
          </w:tcPr>
          <w:p>
            <w:r>
              <w:rPr>
                <w:sz w:val="19"/>
              </w:rPr>
              <w:t>🟡 APROVADO COM CONDIÇÕES</w:t>
            </w:r>
          </w:p>
        </w:tc>
      </w:tr>
    </w:tbl>
    <w:p/>
    <w:p>
      <w:pPr>
        <w:ind w:left="454"/>
      </w:pPr>
      <w:r>
        <w:rPr>
          <w:color w:val="333333"/>
          <w:sz w:val="20"/>
        </w:rPr>
        <w:t>Pontuação ponderada: (8,0×0,25) + (8,0×0,10) + (9,0×0,15) + (8,0×0,20) + (9,0×0,15) + (8,0×0,10) + (8,0×0,05)</w:t>
      </w:r>
    </w:p>
    <w:p>
      <w:pPr>
        <w:ind w:left="454"/>
      </w:pPr>
      <w:r>
        <w:rPr>
          <w:color w:val="333333"/>
          <w:sz w:val="20"/>
        </w:rPr>
        <w:t xml:space="preserve">= 2,00 + 0,80 + 1,35 + 1,60 + 1,35 + 0,80 + 0,40 = </w:t>
      </w:r>
      <w:r>
        <w:rPr>
          <w:b/>
          <w:color w:val="333333"/>
          <w:sz w:val="20"/>
        </w:rPr>
        <w:t>8,30/10</w:t>
      </w:r>
      <w:r>
        <w:rPr>
          <w:color w:val="333333"/>
          <w:sz w:val="20"/>
        </w:rPr>
        <w:t xml:space="preserve"> ✅ (limiar: 7,0/10)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rFonts w:ascii="Calibri" w:hAnsi="Calibri"/>
          <w:b/>
          <w:i w:val="0"/>
          <w:color w:val="1E5296"/>
          <w:sz w:val="25"/>
        </w:rPr>
        <w:t>Pontos Fortes</w:t>
      </w:r>
    </w:p>
    <w:p/>
    <w:p>
      <w:r/>
      <w:r>
        <w:rPr>
          <w:b/>
        </w:rPr>
        <w:t>PF-1: ERF exemplar para o domínio DDA/SAP</w:t>
      </w:r>
      <w:r/>
    </w:p>
    <w:p>
      <w:r>
        <w:t>A especificação de requisitos elaborada pelo Rafael Requisito é sólida: 17 requisitos com ID único,</w:t>
      </w:r>
    </w:p>
    <w:p>
      <w:r>
        <w:t>todos os Must Have com critério de aceitação mensurável e verificável, priorização MoSCoW coerente</w:t>
      </w:r>
    </w:p>
    <w:p>
      <w:r>
        <w:t>com o escopo declarado, e glossário com os 8 termos críticos do domínio (DDA, CNAB 240, FEBAN, CP,</w:t>
      </w:r>
    </w:p>
    <w:p>
      <w:r>
        <w:t>etc.). A rastreabilidade entre RF e critérios de sucesso do TAP está documentada.</w:t>
      </w:r>
    </w:p>
    <w:p/>
    <w:p>
      <w:r/>
      <w:r>
        <w:rPr>
          <w:b/>
        </w:rPr>
        <w:t>PF-2: Plano de Riscos maduro com CRÍTICO endereçado</w:t>
      </w:r>
      <w:r/>
    </w:p>
    <w:p>
      <w:r>
        <w:t>O plano de riscos com 10 riscos em 5 categorias, escala P×I com scores, e plano de resposta detalhado</w:t>
      </w:r>
    </w:p>
    <w:p>
      <w:r>
        <w:t>para os 4 riscos de alto risco e crítico demonstra maturidade. Particularmente bem tratado: R-001</w:t>
      </w:r>
    </w:p>
    <w:p>
      <w:r>
        <w:t>(autorização Holding) tem estratégia MITIGAR + EVITAR com plano de contingência explícito —</w:t>
      </w:r>
    </w:p>
    <w:p>
      <w:r>
        <w:t>isto protege o projeto de seu risco mais grave.</w:t>
      </w:r>
    </w:p>
    <w:p/>
    <w:p>
      <w:r/>
      <w:r>
        <w:rPr>
          <w:b/>
        </w:rPr>
        <w:t>PF-3: Consistência cross-documentos</w:t>
      </w:r>
      <w:r/>
    </w:p>
    <w:p>
      <w:r>
        <w:t>Prazo (30/09/2026), custo (R$0 – R$2.000), escopo (DDA VAB CP x Santander) e stakeholders</w:t>
      </w:r>
    </w:p>
    <w:p>
      <w:r>
        <w:t>(Gladston, Noemia, Lucas, Walace) são consistentes entre TAP, PM Canvas, Cronograma, KPIs e</w:t>
      </w:r>
    </w:p>
    <w:p>
      <w:r>
        <w:t>Status Report. Este é o critério que mais frequentemente falha em revisões e aqui foi respeitado.</w:t>
      </w:r>
    </w:p>
    <w:p/>
    <w:p>
      <w:r/>
      <w:r>
        <w:rPr>
          <w:b/>
        </w:rPr>
        <w:t>PF-4: WBS e cronograma granulares com buffer explícito</w:t>
      </w:r>
      <w:r/>
    </w:p>
    <w:p>
      <w:r>
        <w:t>A WBS com 3 níveis cobre 100% dos entregáveis do TAP. O cronograma identifica o caminho crítico</w:t>
      </w:r>
    </w:p>
    <w:p>
      <w:r>
        <w:t>(habilitação Santander como fator externo crítico), e o buffer de 15% em setembro está explícito</w:t>
      </w:r>
    </w:p>
    <w:p>
      <w:r>
        <w:t>e centralizado — não diluído nas atividades. A estimativa de esforço por fase (130h DTI + 62h</w:t>
      </w:r>
    </w:p>
    <w:p>
      <w:r>
        <w:t>negócio) é um diferencial de transparência.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rFonts w:ascii="Calibri" w:hAnsi="Calibri"/>
          <w:b/>
          <w:i w:val="0"/>
          <w:color w:val="1E5296"/>
          <w:sz w:val="25"/>
        </w:rPr>
        <w:t>Avaliação por Documento</w:t>
      </w:r>
    </w:p>
    <w:p/>
    <w:p>
      <w:pPr>
        <w:pBdr>
          <w:bottom w:val="single" w:sz="6" w:space="1" w:color="CCCCCC"/>
        </w:pBdr>
      </w:pPr>
    </w:p>
    <w:p/>
    <w:p>
      <w:pPr>
        <w:pStyle w:val="Heading3"/>
      </w:pPr>
      <w:r>
        <w:rPr>
          <w:rFonts w:ascii="Calibri" w:hAnsi="Calibri"/>
          <w:b/>
          <w:i w:val="0"/>
          <w:color w:val="2A4A7F"/>
          <w:sz w:val="22"/>
        </w:rPr>
        <w:t>TAP — 8,0/10 | 🟡 Aprovado com condições</w:t>
      </w:r>
    </w:p>
    <w:p/>
    <w:p>
      <w:r/>
      <w:r>
        <w:rPr>
          <w:b/>
        </w:rPr>
        <w:t>Critérios BLOCKING:</w:t>
      </w:r>
      <w:r/>
    </w:p>
    <w:tbl>
      <w:tblPr>
        <w:tblStyle w:val="TableGrid"/>
        <w:tblLook w:firstColumn="1" w:firstRow="1" w:lastColumn="0" w:lastRow="0" w:noHBand="0" w:noVBand="1" w:val="04A0"/>
        <w:tblW w:w="8901" w:type="dxa"/>
        <w:tblLayout w:type="fixed"/>
      </w:tblPr>
      <w:tblGrid>
        <w:gridCol w:w="2967"/>
        <w:gridCol w:w="2967"/>
        <w:gridCol w:w="2967"/>
      </w:tblGrid>
      <w:tr>
        <w:tc>
          <w:tcPr>
            <w:tcW w:w="2967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Critério</w:t>
            </w:r>
          </w:p>
        </w:tc>
        <w:tc>
          <w:tcPr>
            <w:tcW w:w="2967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w="2967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Observação</w:t>
            </w:r>
          </w:p>
        </w:tc>
      </w:tr>
      <w:tr>
        <w:tc>
          <w:tcPr>
            <w:tcW w:w="2967" w:type="dxa"/>
          </w:tcPr>
          <w:p>
            <w:r>
              <w:rPr>
                <w:sz w:val="19"/>
              </w:rPr>
              <w:t>Objetivo SMART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✅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Específico (DDA VAB CP), Mensurável (100% automação), Temporal (30/09/2026)</w:t>
            </w:r>
          </w:p>
        </w:tc>
      </w:tr>
      <w:tr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Sponsor identificado</w:t>
            </w:r>
          </w:p>
        </w:tc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⚠️ PARCIAL</w:t>
            </w:r>
          </w:p>
        </w:tc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Gladston Campos identificado, mas autoridade nível Diretor+ não confirmada (CB-Sponsor aberta)</w:t>
            </w:r>
          </w:p>
        </w:tc>
      </w:tr>
      <w:tr>
        <w:tc>
          <w:tcPr>
            <w:tcW w:w="2967" w:type="dxa"/>
          </w:tcPr>
          <w:p>
            <w:r>
              <w:rPr>
                <w:sz w:val="19"/>
              </w:rPr>
              <w:t>Gerente de Projeto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⚠️ PARCIAL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"A designar pelo DTI após kick-off" — contextualmente correto para pré-kick-off</w:t>
            </w:r>
          </w:p>
        </w:tc>
      </w:tr>
      <w:tr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Escopo dentro/fora</w:t>
            </w:r>
          </w:p>
        </w:tc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✅</w:t>
            </w:r>
          </w:p>
        </w:tc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5 itens dentro + 6 fora do escopo definidos explicitamente</w:t>
            </w:r>
          </w:p>
        </w:tc>
      </w:tr>
      <w:tr>
        <w:tc>
          <w:tcPr>
            <w:tcW w:w="2967" w:type="dxa"/>
          </w:tcPr>
          <w:p>
            <w:r>
              <w:rPr>
                <w:sz w:val="19"/>
              </w:rPr>
              <w:t>Critérios de sucesso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✅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4 critérios com métrica e prazo (acima do mínimo de 3)</w:t>
            </w:r>
          </w:p>
        </w:tc>
      </w:tr>
      <w:tr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Orçamento aprovado</w:t>
            </w:r>
          </w:p>
        </w:tc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✅</w:t>
            </w:r>
          </w:p>
        </w:tc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R$0 a R$2.000 com contextualização clara</w:t>
            </w:r>
          </w:p>
        </w:tc>
      </w:tr>
      <w:tr>
        <w:tc>
          <w:tcPr>
            <w:tcW w:w="2967" w:type="dxa"/>
          </w:tcPr>
          <w:p>
            <w:r>
              <w:rPr>
                <w:sz w:val="19"/>
              </w:rPr>
              <w:t>Prazo de conclusão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✅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30/09/2026 definido</w:t>
            </w:r>
          </w:p>
        </w:tc>
      </w:tr>
    </w:tbl>
    <w:p/>
    <w:p>
      <w:r/>
      <w:r>
        <w:rPr>
          <w:b/>
        </w:rPr>
        <w:t>Critérios de qualidade:</w:t>
      </w:r>
      <w:r/>
    </w:p>
    <w:tbl>
      <w:tblPr>
        <w:tblStyle w:val="TableGrid"/>
        <w:tblLook w:firstColumn="1" w:firstRow="1" w:lastColumn="0" w:lastRow="0" w:noHBand="0" w:noVBand="1" w:val="04A0"/>
        <w:tblW w:w="8900" w:type="dxa"/>
        <w:tblLayout w:type="fixed"/>
      </w:tblPr>
      <w:tblGrid>
        <w:gridCol w:w="4450"/>
        <w:gridCol w:w="4450"/>
      </w:tblGrid>
      <w:tr>
        <w:tc>
          <w:tcPr>
            <w:tcW w:w="4450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Critério</w:t>
            </w:r>
          </w:p>
        </w:tc>
        <w:tc>
          <w:tcPr>
            <w:tcW w:w="4450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w="4450" w:type="dxa"/>
          </w:tcPr>
          <w:p>
            <w:r>
              <w:rPr>
                <w:sz w:val="19"/>
              </w:rPr>
              <w:t>Justificativa → estratégia</w:t>
            </w:r>
          </w:p>
        </w:tc>
        <w:tc>
          <w:tcPr>
            <w:tcW w:w="4450" w:type="dxa"/>
          </w:tcPr>
          <w:p>
            <w:r>
              <w:rPr>
                <w:sz w:val="19"/>
              </w:rPr>
              <w:t>✅ Programa "Controladoria do Futuro" + precedente GAB</w:t>
            </w:r>
          </w:p>
        </w:tc>
      </w:tr>
      <w:tr>
        <w:tc>
          <w:tcPr>
            <w:tcW w:w="4450" w:type="dxa"/>
            <w:shd w:val="clear" w:color="auto" w:fill="F0F5FB"/>
          </w:tcPr>
          <w:p>
            <w:r>
              <w:rPr>
                <w:sz w:val="19"/>
              </w:rPr>
              <w:t>≥ 5 partes interessadas</w:t>
            </w:r>
          </w:p>
        </w:tc>
        <w:tc>
          <w:tcPr>
            <w:tcW w:w="4450" w:type="dxa"/>
            <w:shd w:val="clear" w:color="auto" w:fill="F0F5FB"/>
          </w:tcPr>
          <w:p>
            <w:r>
              <w:rPr>
                <w:sz w:val="19"/>
              </w:rPr>
              <w:t>✅ 7 stakeholders mapeados</w:t>
            </w:r>
          </w:p>
        </w:tc>
      </w:tr>
      <w:tr>
        <w:tc>
          <w:tcPr>
            <w:tcW w:w="4450" w:type="dxa"/>
          </w:tcPr>
          <w:p>
            <w:r>
              <w:rPr>
                <w:sz w:val="19"/>
              </w:rPr>
              <w:t>≥ 3 premissas + ≥ 3 restrições</w:t>
            </w:r>
          </w:p>
        </w:tc>
        <w:tc>
          <w:tcPr>
            <w:tcW w:w="4450" w:type="dxa"/>
          </w:tcPr>
          <w:p>
            <w:r>
              <w:rPr>
                <w:sz w:val="19"/>
              </w:rPr>
              <w:t>✅ 6 premissas + 6 restrições</w:t>
            </w:r>
          </w:p>
        </w:tc>
      </w:tr>
      <w:tr>
        <w:tc>
          <w:tcPr>
            <w:tcW w:w="4450" w:type="dxa"/>
            <w:shd w:val="clear" w:color="auto" w:fill="F0F5FB"/>
          </w:tcPr>
          <w:p>
            <w:r>
              <w:rPr>
                <w:sz w:val="19"/>
              </w:rPr>
              <w:t>≥ 3 riscos alto nível</w:t>
            </w:r>
          </w:p>
        </w:tc>
        <w:tc>
          <w:tcPr>
            <w:tcW w:w="4450" w:type="dxa"/>
            <w:shd w:val="clear" w:color="auto" w:fill="F0F5FB"/>
          </w:tcPr>
          <w:p>
            <w:r>
              <w:rPr>
                <w:sz w:val="19"/>
              </w:rPr>
              <w:t>✅ 5 riscos</w:t>
            </w:r>
          </w:p>
        </w:tc>
      </w:tr>
      <w:tr>
        <w:tc>
          <w:tcPr>
            <w:tcW w:w="4450" w:type="dxa"/>
          </w:tcPr>
          <w:p>
            <w:r>
              <w:rPr>
                <w:sz w:val="19"/>
              </w:rPr>
              <w:t>Benefícios quantificados</w:t>
            </w:r>
          </w:p>
        </w:tc>
        <w:tc>
          <w:tcPr>
            <w:tcW w:w="4450" w:type="dxa"/>
          </w:tcPr>
          <w:p>
            <w:r>
              <w:rPr>
                <w:sz w:val="19"/>
              </w:rPr>
              <w:t>⚠️ Qualitativos (100% automação declarado, sem R$ ou horas economizadas)</w:t>
            </w:r>
          </w:p>
        </w:tc>
      </w:tr>
    </w:tbl>
    <w:p/>
    <w:p>
      <w:r/>
      <w:r>
        <w:rPr>
          <w:b/>
        </w:rPr>
        <w:t>Condições requeridas (TAP):</w:t>
      </w:r>
      <w:r/>
    </w:p>
    <w:p>
      <w:pPr>
        <w:pStyle w:val="ListBullet"/>
      </w:pPr>
      <w:r/>
      <w:r>
        <w:rPr>
          <w:b/>
        </w:rPr>
        <w:t>C-TAP-1:</w:t>
      </w:r>
      <w:r>
        <w:t xml:space="preserve"> GP "a designar" — aceito pré-kick-off COMO CONDIÇÃO DE KICK-OFF: o GP deve ser designado antes do M-0 (gate de kick-off). Sem GP designado, o gate de kick-off não será liberado.</w:t>
      </w:r>
    </w:p>
    <w:p>
      <w:pPr>
        <w:pStyle w:val="ListBullet"/>
      </w:pPr>
      <w:r/>
      <w:r>
        <w:rPr>
          <w:b/>
        </w:rPr>
        <w:t>C-TAP-2:</w:t>
      </w:r>
      <w:r>
        <w:t xml:space="preserve"> Sponsor autoridade plena — aceito pré-kick-off, monitorado pela CB-Sponsor. O TAP deve ser revisado com a confirmação do sponsor após resolução da CB-Sponsor.</w:t>
      </w:r>
    </w:p>
    <w:p/>
    <w:p>
      <w:pPr>
        <w:pBdr>
          <w:bottom w:val="single" w:sz="6" w:space="1" w:color="CCCCCC"/>
        </w:pBdr>
      </w:pPr>
    </w:p>
    <w:p/>
    <w:p>
      <w:pPr>
        <w:pStyle w:val="Heading3"/>
      </w:pPr>
      <w:r>
        <w:rPr>
          <w:rFonts w:ascii="Calibri" w:hAnsi="Calibri"/>
          <w:b/>
          <w:i w:val="0"/>
          <w:color w:val="2A4A7F"/>
          <w:sz w:val="22"/>
        </w:rPr>
        <w:t>PM Canvas — 8,0/10 | ✅ Aprovado</w:t>
      </w:r>
    </w:p>
    <w:p/>
    <w:p>
      <w:r/>
      <w:r>
        <w:rPr>
          <w:b/>
        </w:rPr>
        <w:t>Critérios BLOCKING:</w:t>
      </w:r>
      <w:r/>
    </w:p>
    <w:tbl>
      <w:tblPr>
        <w:tblStyle w:val="TableGrid"/>
        <w:tblLook w:firstColumn="1" w:firstRow="1" w:lastColumn="0" w:lastRow="0" w:noHBand="0" w:noVBand="1" w:val="04A0"/>
        <w:tblW w:w="8901" w:type="dxa"/>
        <w:tblLayout w:type="fixed"/>
      </w:tblPr>
      <w:tblGrid>
        <w:gridCol w:w="2967"/>
        <w:gridCol w:w="2967"/>
        <w:gridCol w:w="2967"/>
      </w:tblGrid>
      <w:tr>
        <w:tc>
          <w:tcPr>
            <w:tcW w:w="2967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Critério</w:t>
            </w:r>
          </w:p>
        </w:tc>
        <w:tc>
          <w:tcPr>
            <w:tcW w:w="2967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w="2967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Observação</w:t>
            </w:r>
          </w:p>
        </w:tc>
      </w:tr>
      <w:tr>
        <w:tc>
          <w:tcPr>
            <w:tcW w:w="2967" w:type="dxa"/>
          </w:tcPr>
          <w:p>
            <w:r>
              <w:rPr>
                <w:sz w:val="19"/>
              </w:rPr>
              <w:t>Todos os 9 blocos preenchidos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✅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Blocos 1 a 9 presentes e substantivos</w:t>
            </w:r>
          </w:p>
        </w:tc>
      </w:tr>
      <w:tr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Consistência interna</w:t>
            </w:r>
          </w:p>
        </w:tc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✅</w:t>
            </w:r>
          </w:p>
        </w:tc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Prazo/custo/escopo/stakeholders coerentes com TAP</w:t>
            </w:r>
          </w:p>
        </w:tc>
      </w:tr>
      <w:tr>
        <w:tc>
          <w:tcPr>
            <w:tcW w:w="2967" w:type="dxa"/>
          </w:tcPr>
          <w:p>
            <w:r>
              <w:rPr>
                <w:sz w:val="19"/>
              </w:rPr>
              <w:t>Bloco "Por quê?" → estratégia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✅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"Automação financeira", "Controladoria do Futuro"</w:t>
            </w:r>
          </w:p>
        </w:tc>
      </w:tr>
    </w:tbl>
    <w:p/>
    <w:p>
      <w:r/>
      <w:r>
        <w:rPr>
          <w:b/>
        </w:rPr>
        <w:t>Nota:</w:t>
      </w:r>
      <w:r>
        <w:t xml:space="preserve"> O PM Canvas em formato tabular markdown cumpre todos os requisitos de conteúdo.</w:t>
      </w:r>
    </w:p>
    <w:p/>
    <w:p>
      <w:pPr>
        <w:pBdr>
          <w:bottom w:val="single" w:sz="6" w:space="1" w:color="CCCCCC"/>
        </w:pBdr>
      </w:pPr>
    </w:p>
    <w:p/>
    <w:p>
      <w:pPr>
        <w:pStyle w:val="Heading3"/>
      </w:pPr>
      <w:r>
        <w:rPr>
          <w:rFonts w:ascii="Calibri" w:hAnsi="Calibri"/>
          <w:b/>
          <w:i w:val="0"/>
          <w:color w:val="2A4A7F"/>
          <w:sz w:val="22"/>
        </w:rPr>
        <w:t>ERF — 9,0/10 | ✅ Aprovado</w:t>
      </w:r>
    </w:p>
    <w:p/>
    <w:p>
      <w:r/>
      <w:r>
        <w:rPr>
          <w:b/>
        </w:rPr>
        <w:t>Critérios BLOCKING:</w:t>
      </w:r>
      <w:r/>
    </w:p>
    <w:tbl>
      <w:tblPr>
        <w:tblStyle w:val="TableGrid"/>
        <w:tblLook w:firstColumn="1" w:firstRow="1" w:lastColumn="0" w:lastRow="0" w:noHBand="0" w:noVBand="1" w:val="04A0"/>
        <w:tblW w:w="8901" w:type="dxa"/>
        <w:tblLayout w:type="fixed"/>
      </w:tblPr>
      <w:tblGrid>
        <w:gridCol w:w="2967"/>
        <w:gridCol w:w="2967"/>
        <w:gridCol w:w="2967"/>
      </w:tblGrid>
      <w:tr>
        <w:tc>
          <w:tcPr>
            <w:tcW w:w="2967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Critério</w:t>
            </w:r>
          </w:p>
        </w:tc>
        <w:tc>
          <w:tcPr>
            <w:tcW w:w="2967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w="2967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Observação</w:t>
            </w:r>
          </w:p>
        </w:tc>
      </w:tr>
      <w:tr>
        <w:tc>
          <w:tcPr>
            <w:tcW w:w="2967" w:type="dxa"/>
          </w:tcPr>
          <w:p>
            <w:r>
              <w:rPr>
                <w:sz w:val="19"/>
              </w:rPr>
              <w:t>MoSCoW priorizado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✅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5 Must / 3 Should / 2 Could / 2 Won't</w:t>
            </w:r>
          </w:p>
        </w:tc>
      </w:tr>
      <w:tr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Critério aceitação por Must Have</w:t>
            </w:r>
          </w:p>
        </w:tc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✅</w:t>
            </w:r>
          </w:p>
        </w:tc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RF001–RF005 todos com critério mensurável</w:t>
            </w:r>
          </w:p>
        </w:tc>
      </w:tr>
      <w:tr>
        <w:tc>
          <w:tcPr>
            <w:tcW w:w="2967" w:type="dxa"/>
          </w:tcPr>
          <w:p>
            <w:r>
              <w:rPr>
                <w:sz w:val="19"/>
              </w:rPr>
              <w:t>ID único por requisito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✅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RF001–RF010 + RNF001–005</w:t>
            </w:r>
          </w:p>
        </w:tc>
      </w:tr>
      <w:tr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Rastreabilidade</w:t>
            </w:r>
          </w:p>
        </w:tc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✅</w:t>
            </w:r>
          </w:p>
        </w:tc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Tabela de rastreabilidade RF → CS do TAP</w:t>
            </w:r>
          </w:p>
        </w:tc>
      </w:tr>
    </w:tbl>
    <w:p/>
    <w:p>
      <w:r/>
      <w:r>
        <w:rPr>
          <w:b/>
        </w:rPr>
        <w:t>Diferencial positivo:</w:t>
      </w:r>
      <w:r>
        <w:t xml:space="preserve"> Os critérios de aceitação dos RFs Must Have são operacionalmente</w:t>
      </w:r>
    </w:p>
    <w:p>
      <w:r>
        <w:t>específicos ("N boletos em um arquivo → N documentos SAP, zero digitação manual") — testáveis</w:t>
      </w:r>
    </w:p>
    <w:p>
      <w:r>
        <w:t>no UAT sem interpretação.</w:t>
      </w:r>
    </w:p>
    <w:p/>
    <w:p>
      <w:r/>
      <w:r>
        <w:rPr>
          <w:b/>
        </w:rPr>
        <w:t>Observação não-bloqueante:</w:t>
      </w:r>
      <w:r>
        <w:t xml:space="preserve"> RF009 e RF010 marcados como Could Have carregam a nota [CB-2].</w:t>
      </w:r>
    </w:p>
    <w:p>
      <w:r>
        <w:t>Após o levantamento técnico (M-1), os itens [CB-2] devem ser revisados e promovidos/confirmados.</w:t>
      </w:r>
    </w:p>
    <w:p>
      <w:r>
        <w:t>Esta revisão não requer nova aprovação de qualificação.</w:t>
      </w:r>
    </w:p>
    <w:p/>
    <w:p>
      <w:pPr>
        <w:pBdr>
          <w:bottom w:val="single" w:sz="6" w:space="1" w:color="CCCCCC"/>
        </w:pBdr>
      </w:pPr>
    </w:p>
    <w:p/>
    <w:p>
      <w:pPr>
        <w:pStyle w:val="Heading3"/>
      </w:pPr>
      <w:r>
        <w:rPr>
          <w:rFonts w:ascii="Calibri" w:hAnsi="Calibri"/>
          <w:b/>
          <w:i w:val="0"/>
          <w:color w:val="2A4A7F"/>
          <w:sz w:val="22"/>
        </w:rPr>
        <w:t>Cronograma — 8,0/10 | 🟡 Aprovado com condições</w:t>
      </w:r>
    </w:p>
    <w:p/>
    <w:p>
      <w:r/>
      <w:r>
        <w:rPr>
          <w:b/>
        </w:rPr>
        <w:t>Critérios BLOCKING:</w:t>
      </w:r>
      <w:r/>
    </w:p>
    <w:tbl>
      <w:tblPr>
        <w:tblStyle w:val="TableGrid"/>
        <w:tblLook w:firstColumn="1" w:firstRow="1" w:lastColumn="0" w:lastRow="0" w:noHBand="0" w:noVBand="1" w:val="04A0"/>
        <w:tblW w:w="8901" w:type="dxa"/>
        <w:tblLayout w:type="fixed"/>
      </w:tblPr>
      <w:tblGrid>
        <w:gridCol w:w="2967"/>
        <w:gridCol w:w="2967"/>
        <w:gridCol w:w="2967"/>
      </w:tblGrid>
      <w:tr>
        <w:tc>
          <w:tcPr>
            <w:tcW w:w="2967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Critério</w:t>
            </w:r>
          </w:p>
        </w:tc>
        <w:tc>
          <w:tcPr>
            <w:tcW w:w="2967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w="2967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Observação</w:t>
            </w:r>
          </w:p>
        </w:tc>
      </w:tr>
      <w:tr>
        <w:tc>
          <w:tcPr>
            <w:tcW w:w="2967" w:type="dxa"/>
          </w:tcPr>
          <w:p>
            <w:r>
              <w:rPr>
                <w:sz w:val="19"/>
              </w:rPr>
              <w:t>WBS ≥ 3 níveis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✅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Fases → Grupos → Atividades</w:t>
            </w:r>
          </w:p>
        </w:tc>
      </w:tr>
      <w:tr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Pacotes ≤ 2 semanas</w:t>
            </w:r>
          </w:p>
        </w:tc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✅</w:t>
            </w:r>
          </w:p>
        </w:tc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Maior atividade: 10 dias corridos</w:t>
            </w:r>
          </w:p>
        </w:tc>
      </w:tr>
      <w:tr>
        <w:tc>
          <w:tcPr>
            <w:tcW w:w="2967" w:type="dxa"/>
          </w:tcPr>
          <w:p>
            <w:r>
              <w:rPr>
                <w:sz w:val="19"/>
              </w:rPr>
              <w:t>Marcos mínimos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✅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M-0 a M-6 com critério de conclusão</w:t>
            </w:r>
          </w:p>
        </w:tc>
      </w:tr>
      <w:tr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Dependências</w:t>
            </w:r>
          </w:p>
        </w:tc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✅</w:t>
            </w:r>
          </w:p>
        </w:tc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Coluna "Dependência" preenchida</w:t>
            </w:r>
          </w:p>
        </w:tc>
      </w:tr>
      <w:tr>
        <w:tc>
          <w:tcPr>
            <w:tcW w:w="2967" w:type="dxa"/>
          </w:tcPr>
          <w:p>
            <w:r>
              <w:rPr>
                <w:sz w:val="19"/>
              </w:rPr>
              <w:t>Caminho crítico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✅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Seção dedicada com sequência identificada</w:t>
            </w:r>
          </w:p>
        </w:tc>
      </w:tr>
    </w:tbl>
    <w:p/>
    <w:p>
      <w:r/>
      <w:r>
        <w:rPr>
          <w:b/>
        </w:rPr>
        <w:t>Condição requerida (Cronograma):</w:t>
      </w:r>
      <w:r/>
    </w:p>
    <w:p>
      <w:pPr>
        <w:pStyle w:val="ListBullet"/>
      </w:pPr>
      <w:r/>
      <w:r>
        <w:rPr>
          <w:b/>
        </w:rPr>
        <w:t>C-CRON-1:</w:t>
      </w:r>
      <w:r>
        <w:t xml:space="preserve"> Responsáveis genéricos ("Recurso DTI", "GP") — aceitável pré-kick-off, mas o</w:t>
      </w:r>
    </w:p>
    <w:p>
      <w:r>
        <w:t xml:space="preserve">  cronograma deve ser revisado com nomes reais dos responsáveis após designação do GP e do</w:t>
      </w:r>
    </w:p>
    <w:p>
      <w:r>
        <w:t xml:space="preserve">  recurso técnico DTI (condição de M-0). Esta revisão é parte natural da fase de kick-off.</w:t>
      </w:r>
    </w:p>
    <w:p/>
    <w:p>
      <w:pPr>
        <w:pBdr>
          <w:bottom w:val="single" w:sz="6" w:space="1" w:color="CCCCCC"/>
        </w:pBdr>
      </w:pPr>
    </w:p>
    <w:p/>
    <w:p>
      <w:pPr>
        <w:pStyle w:val="Heading3"/>
      </w:pPr>
      <w:r>
        <w:rPr>
          <w:rFonts w:ascii="Calibri" w:hAnsi="Calibri"/>
          <w:b/>
          <w:i w:val="0"/>
          <w:color w:val="2A4A7F"/>
          <w:sz w:val="22"/>
        </w:rPr>
        <w:t>Plano de Riscos — 9,0/10 | ✅ Aprovado</w:t>
      </w:r>
    </w:p>
    <w:p/>
    <w:p>
      <w:r/>
      <w:r>
        <w:rPr>
          <w:b/>
        </w:rPr>
        <w:t>Critérios BLOCKING:</w:t>
      </w:r>
      <w:r/>
    </w:p>
    <w:tbl>
      <w:tblPr>
        <w:tblStyle w:val="TableGrid"/>
        <w:tblLook w:firstColumn="1" w:firstRow="1" w:lastColumn="0" w:lastRow="0" w:noHBand="0" w:noVBand="1" w:val="04A0"/>
        <w:tblW w:w="8901" w:type="dxa"/>
        <w:tblLayout w:type="fixed"/>
      </w:tblPr>
      <w:tblGrid>
        <w:gridCol w:w="2967"/>
        <w:gridCol w:w="2967"/>
        <w:gridCol w:w="2967"/>
      </w:tblGrid>
      <w:tr>
        <w:tc>
          <w:tcPr>
            <w:tcW w:w="2967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Critério</w:t>
            </w:r>
          </w:p>
        </w:tc>
        <w:tc>
          <w:tcPr>
            <w:tcW w:w="2967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w="2967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Observação</w:t>
            </w:r>
          </w:p>
        </w:tc>
      </w:tr>
      <w:tr>
        <w:tc>
          <w:tcPr>
            <w:tcW w:w="2967" w:type="dxa"/>
          </w:tcPr>
          <w:p>
            <w:r>
              <w:rPr>
                <w:sz w:val="19"/>
              </w:rPr>
              <w:t>≥ 5 riscos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✅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10 riscos documentados</w:t>
            </w:r>
          </w:p>
        </w:tc>
      </w:tr>
      <w:tr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P e I avaliados</w:t>
            </w:r>
          </w:p>
        </w:tc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✅</w:t>
            </w:r>
          </w:p>
        </w:tc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Escala 1–9 com scores; 1 CRÍTICO, 4 ALTOS, 4 MÉDIOS, 1 BAIXO</w:t>
            </w:r>
          </w:p>
        </w:tc>
      </w:tr>
      <w:tr>
        <w:tc>
          <w:tcPr>
            <w:tcW w:w="2967" w:type="dxa"/>
          </w:tcPr>
          <w:p>
            <w:r>
              <w:rPr>
                <w:sz w:val="19"/>
              </w:rPr>
              <w:t>Estratégia de resposta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✅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Mitigar/Evitar/Aceitar por risco</w:t>
            </w:r>
          </w:p>
        </w:tc>
      </w:tr>
      <w:tr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Responsável e prazo</w:t>
            </w:r>
          </w:p>
        </w:tc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✅</w:t>
            </w:r>
          </w:p>
        </w:tc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Por ação de resposta em cada risco</w:t>
            </w:r>
          </w:p>
        </w:tc>
      </w:tr>
    </w:tbl>
    <w:p/>
    <w:p>
      <w:r/>
      <w:r>
        <w:rPr>
          <w:b/>
        </w:rPr>
        <w:t>Critérios de qualidade:</w:t>
      </w:r>
      <w:r/>
    </w:p>
    <w:tbl>
      <w:tblPr>
        <w:tblStyle w:val="TableGrid"/>
        <w:tblLook w:firstColumn="1" w:firstRow="1" w:lastColumn="0" w:lastRow="0" w:noHBand="0" w:noVBand="1" w:val="04A0"/>
        <w:tblW w:w="8900" w:type="dxa"/>
        <w:tblLayout w:type="fixed"/>
      </w:tblPr>
      <w:tblGrid>
        <w:gridCol w:w="4450"/>
        <w:gridCol w:w="4450"/>
      </w:tblGrid>
      <w:tr>
        <w:tc>
          <w:tcPr>
            <w:tcW w:w="4450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Critério</w:t>
            </w:r>
          </w:p>
        </w:tc>
        <w:tc>
          <w:tcPr>
            <w:tcW w:w="4450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w="4450" w:type="dxa"/>
          </w:tcPr>
          <w:p>
            <w:r>
              <w:rPr>
                <w:sz w:val="19"/>
              </w:rPr>
              <w:t>≥ 4 categorias</w:t>
            </w:r>
          </w:p>
        </w:tc>
        <w:tc>
          <w:tcPr>
            <w:tcW w:w="4450" w:type="dxa"/>
          </w:tcPr>
          <w:p>
            <w:r>
              <w:rPr>
                <w:sz w:val="19"/>
              </w:rPr>
              <w:t>✅ Governança, Técnico, Externo, Pessoas, Processo (5)</w:t>
            </w:r>
          </w:p>
        </w:tc>
      </w:tr>
      <w:tr>
        <w:tc>
          <w:tcPr>
            <w:tcW w:w="4450" w:type="dxa"/>
            <w:shd w:val="clear" w:color="auto" w:fill="F0F5FB"/>
          </w:tcPr>
          <w:p>
            <w:r>
              <w:rPr>
                <w:sz w:val="19"/>
              </w:rPr>
              <w:t>Críticos com contingência</w:t>
            </w:r>
          </w:p>
        </w:tc>
        <w:tc>
          <w:tcPr>
            <w:tcW w:w="4450" w:type="dxa"/>
            <w:shd w:val="clear" w:color="auto" w:fill="F0F5FB"/>
          </w:tcPr>
          <w:p>
            <w:r>
              <w:rPr>
                <w:sz w:val="19"/>
              </w:rPr>
              <w:t>✅ R-001 CRÍTICO com plano detalhado</w:t>
            </w:r>
          </w:p>
        </w:tc>
      </w:tr>
      <w:tr>
        <w:tc>
          <w:tcPr>
            <w:tcW w:w="4450" w:type="dxa"/>
          </w:tcPr>
          <w:p>
            <w:r>
              <w:rPr>
                <w:sz w:val="19"/>
              </w:rPr>
              <w:t>Triggers definidos</w:t>
            </w:r>
          </w:p>
        </w:tc>
        <w:tc>
          <w:tcPr>
            <w:tcW w:w="4450" w:type="dxa"/>
          </w:tcPr>
          <w:p>
            <w:r>
              <w:rPr>
                <w:sz w:val="19"/>
              </w:rPr>
              <w:t>✅ R-001, R-002, R-003, R-004, R-006, R-008, R-009</w:t>
            </w:r>
          </w:p>
        </w:tc>
      </w:tr>
      <w:tr>
        <w:tc>
          <w:tcPr>
            <w:tcW w:w="4450" w:type="dxa"/>
            <w:shd w:val="clear" w:color="auto" w:fill="F0F5FB"/>
          </w:tcPr>
          <w:p>
            <w:r>
              <w:rPr>
                <w:sz w:val="19"/>
              </w:rPr>
              <w:t>Reserva de contingência</w:t>
            </w:r>
          </w:p>
        </w:tc>
        <w:tc>
          <w:tcPr>
            <w:tcW w:w="4450" w:type="dxa"/>
            <w:shd w:val="clear" w:color="auto" w:fill="F0F5FB"/>
          </w:tcPr>
          <w:p>
            <w:r>
              <w:rPr>
                <w:sz w:val="19"/>
              </w:rPr>
              <w:t>✅ R$2.000 + 38,3 dias valor esperado</w:t>
            </w:r>
          </w:p>
        </w:tc>
      </w:tr>
    </w:tbl>
    <w:p/>
    <w:p>
      <w:pPr>
        <w:pBdr>
          <w:bottom w:val="single" w:sz="6" w:space="1" w:color="CCCCCC"/>
        </w:pBdr>
      </w:pPr>
    </w:p>
    <w:p/>
    <w:p>
      <w:pPr>
        <w:pStyle w:val="Heading3"/>
      </w:pPr>
      <w:r>
        <w:rPr>
          <w:rFonts w:ascii="Calibri" w:hAnsi="Calibri"/>
          <w:b/>
          <w:i w:val="0"/>
          <w:color w:val="2A4A7F"/>
          <w:sz w:val="22"/>
        </w:rPr>
        <w:t>Framework de KPIs — 8,0/10 | ✅ Aprovado</w:t>
      </w:r>
    </w:p>
    <w:p/>
    <w:p>
      <w:r/>
      <w:r>
        <w:rPr>
          <w:b/>
        </w:rPr>
        <w:t>Critérios BLOCKING:</w:t>
      </w:r>
      <w:r/>
    </w:p>
    <w:tbl>
      <w:tblPr>
        <w:tblStyle w:val="TableGrid"/>
        <w:tblLook w:firstColumn="1" w:firstRow="1" w:lastColumn="0" w:lastRow="0" w:noHBand="0" w:noVBand="1" w:val="04A0"/>
        <w:tblW w:w="8900" w:type="dxa"/>
        <w:tblLayout w:type="fixed"/>
      </w:tblPr>
      <w:tblGrid>
        <w:gridCol w:w="4450"/>
        <w:gridCol w:w="4450"/>
      </w:tblGrid>
      <w:tr>
        <w:tc>
          <w:tcPr>
            <w:tcW w:w="4450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Critério</w:t>
            </w:r>
          </w:p>
        </w:tc>
        <w:tc>
          <w:tcPr>
            <w:tcW w:w="4450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w="4450" w:type="dxa"/>
          </w:tcPr>
          <w:p>
            <w:r>
              <w:rPr>
                <w:sz w:val="19"/>
              </w:rPr>
              <w:t>CPI e SPI definidos</w:t>
            </w:r>
          </w:p>
        </w:tc>
        <w:tc>
          <w:tcPr>
            <w:tcW w:w="4450" w:type="dxa"/>
          </w:tcPr>
          <w:p>
            <w:r>
              <w:rPr>
                <w:sz w:val="19"/>
              </w:rPr>
              <w:t>✅ Tabela EVM completa com BAC, fórmula e baseline</w:t>
            </w:r>
          </w:p>
        </w:tc>
      </w:tr>
      <w:tr>
        <w:tc>
          <w:tcPr>
            <w:tcW w:w="4450" w:type="dxa"/>
            <w:shd w:val="clear" w:color="auto" w:fill="F0F5FB"/>
          </w:tcPr>
          <w:p>
            <w:r>
              <w:rPr>
                <w:sz w:val="19"/>
              </w:rPr>
              <w:t>Frequência de medição</w:t>
            </w:r>
          </w:p>
        </w:tc>
        <w:tc>
          <w:tcPr>
            <w:tcW w:w="4450" w:type="dxa"/>
            <w:shd w:val="clear" w:color="auto" w:fill="F0F5FB"/>
          </w:tcPr>
          <w:p>
            <w:r>
              <w:rPr>
                <w:sz w:val="19"/>
              </w:rPr>
              <w:t>✅ Quinzenal + por evento + pós-go-live</w:t>
            </w:r>
          </w:p>
        </w:tc>
      </w:tr>
      <w:tr>
        <w:tc>
          <w:tcPr>
            <w:tcW w:w="4450" w:type="dxa"/>
          </w:tcPr>
          <w:p>
            <w:r>
              <w:rPr>
                <w:sz w:val="19"/>
              </w:rPr>
              <w:t>Limites de alerta</w:t>
            </w:r>
          </w:p>
        </w:tc>
        <w:tc>
          <w:tcPr>
            <w:tcW w:w="4450" w:type="dxa"/>
          </w:tcPr>
          <w:p>
            <w:r>
              <w:rPr>
                <w:sz w:val="19"/>
              </w:rPr>
              <w:t>✅ Tabela verde/amarelo/vermelho por dimensão</w:t>
            </w:r>
          </w:p>
        </w:tc>
      </w:tr>
      <w:tr>
        <w:tc>
          <w:tcPr>
            <w:tcW w:w="4450" w:type="dxa"/>
            <w:shd w:val="clear" w:color="auto" w:fill="F0F5FB"/>
          </w:tcPr>
          <w:p>
            <w:r>
              <w:rPr>
                <w:sz w:val="19"/>
              </w:rPr>
              <w:t>Responsável por KPI</w:t>
            </w:r>
          </w:p>
        </w:tc>
        <w:tc>
          <w:tcPr>
            <w:tcW w:w="4450" w:type="dxa"/>
            <w:shd w:val="clear" w:color="auto" w:fill="F0F5FB"/>
          </w:tcPr>
          <w:p>
            <w:r>
              <w:rPr>
                <w:sz w:val="19"/>
              </w:rPr>
              <w:t>✅ GP, Noemia, DTI FI por KPI</w:t>
            </w:r>
          </w:p>
        </w:tc>
      </w:tr>
    </w:tbl>
    <w:p/>
    <w:p>
      <w:pPr>
        <w:pBdr>
          <w:bottom w:val="single" w:sz="6" w:space="1" w:color="CCCCCC"/>
        </w:pBdr>
      </w:pPr>
    </w:p>
    <w:p/>
    <w:p>
      <w:pPr>
        <w:pStyle w:val="Heading3"/>
      </w:pPr>
      <w:r>
        <w:rPr>
          <w:rFonts w:ascii="Calibri" w:hAnsi="Calibri"/>
          <w:b/>
          <w:i w:val="0"/>
          <w:color w:val="2A4A7F"/>
          <w:sz w:val="22"/>
        </w:rPr>
        <w:t>Status Report — 8,0/10 | 🟡 Aprovado com condições</w:t>
      </w:r>
    </w:p>
    <w:p/>
    <w:p>
      <w:r/>
      <w:r>
        <w:rPr>
          <w:b/>
        </w:rPr>
        <w:t>Critérios BLOCKING:</w:t>
      </w:r>
      <w:r/>
    </w:p>
    <w:tbl>
      <w:tblPr>
        <w:tblStyle w:val="TableGrid"/>
        <w:tblLook w:firstColumn="1" w:firstRow="1" w:lastColumn="0" w:lastRow="0" w:noHBand="0" w:noVBand="1" w:val="04A0"/>
        <w:tblW w:w="8901" w:type="dxa"/>
        <w:tblLayout w:type="fixed"/>
      </w:tblPr>
      <w:tblGrid>
        <w:gridCol w:w="2967"/>
        <w:gridCol w:w="2967"/>
        <w:gridCol w:w="2967"/>
      </w:tblGrid>
      <w:tr>
        <w:tc>
          <w:tcPr>
            <w:tcW w:w="2967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Critério</w:t>
            </w:r>
          </w:p>
        </w:tc>
        <w:tc>
          <w:tcPr>
            <w:tcW w:w="2967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w="2967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Observação</w:t>
            </w:r>
          </w:p>
        </w:tc>
      </w:tr>
      <w:tr>
        <w:tc>
          <w:tcPr>
            <w:tcW w:w="2967" w:type="dxa"/>
          </w:tcPr>
          <w:p>
            <w:r>
              <w:rPr>
                <w:sz w:val="19"/>
              </w:rPr>
              <w:t>Status geral (semáforo)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✅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🟡 ATENÇÃO com breakdown por dimensão</w:t>
            </w:r>
          </w:p>
        </w:tc>
      </w:tr>
      <w:tr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Data e período</w:t>
            </w:r>
          </w:p>
        </w:tc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✅</w:t>
            </w:r>
          </w:p>
        </w:tc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20/05/2026 — Iniciação</w:t>
            </w:r>
          </w:p>
        </w:tc>
      </w:tr>
      <w:tr>
        <w:tc>
          <w:tcPr>
            <w:tcW w:w="2967" w:type="dxa"/>
          </w:tcPr>
          <w:p>
            <w:r>
              <w:rPr>
                <w:sz w:val="19"/>
              </w:rPr>
              <w:t>Progresso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⚠️ PARCIAL</w:t>
            </w:r>
          </w:p>
        </w:tc>
        <w:tc>
          <w:tcPr>
            <w:tcW w:w="2967" w:type="dxa"/>
          </w:tcPr>
          <w:p>
            <w:r>
              <w:rPr>
                <w:sz w:val="19"/>
              </w:rPr>
              <w:t>"Iniciação concluída" sem % numérico. Contextual para phase 0.</w:t>
            </w:r>
          </w:p>
        </w:tc>
      </w:tr>
      <w:tr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Issues abertas</w:t>
            </w:r>
          </w:p>
        </w:tc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✅</w:t>
            </w:r>
          </w:p>
        </w:tc>
        <w:tc>
          <w:tcPr>
            <w:tcW w:w="2967" w:type="dxa"/>
            <w:shd w:val="clear" w:color="auto" w:fill="F0F5FB"/>
          </w:tcPr>
          <w:p>
            <w:r>
              <w:rPr>
                <w:sz w:val="19"/>
              </w:rPr>
              <w:t>CBs e riscos críticos documentados</w:t>
            </w:r>
          </w:p>
        </w:tc>
      </w:tr>
    </w:tbl>
    <w:p/>
    <w:p>
      <w:r/>
      <w:r>
        <w:rPr>
          <w:b/>
        </w:rPr>
        <w:t>Condição requerida (Status Report):</w:t>
      </w:r>
      <w:r/>
    </w:p>
    <w:p>
      <w:pPr>
        <w:pStyle w:val="ListBullet"/>
      </w:pPr>
      <w:r/>
      <w:r>
        <w:rPr>
          <w:b/>
        </w:rPr>
        <w:t>C-SR-1:</w:t>
      </w:r>
      <w:r>
        <w:t xml:space="preserve"> Incluir percentual de conclusão explícito (ex: "Fase de Iniciação: 100% / Projeto</w:t>
      </w:r>
    </w:p>
    <w:p>
      <w:r>
        <w:t xml:space="preserve">  global: 0% até kick-off"). Aplicar nos próximos reports a partir do M-0.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rFonts w:ascii="Calibri" w:hAnsi="Calibri"/>
          <w:b/>
          <w:i w:val="0"/>
          <w:color w:val="1E5296"/>
          <w:sz w:val="25"/>
        </w:rPr>
        <w:t>Bloqueadores Críticos</w:t>
      </w:r>
    </w:p>
    <w:p/>
    <w:p>
      <w:r/>
      <w:r>
        <w:rPr>
          <w:b/>
        </w:rPr>
        <w:t>Nenhum bloqueador CRÍTICO identificado que impeça o avanço para o gate de kick-off.</w:t>
      </w:r>
      <w:r/>
    </w:p>
    <w:p/>
    <w:p>
      <w:r>
        <w:t>Os dois itens ⚠️ (Sponsor/GP no TAP e responsáveis genéricos no cronograma) são condições</w:t>
      </w:r>
    </w:p>
    <w:p>
      <w:r>
        <w:t>contextuais de pré-kick-off, já documentadas como CBs e condições de gate — não são lacunas</w:t>
      </w:r>
    </w:p>
    <w:p>
      <w:r>
        <w:t>não-gerenciadas. A documentação produzida trata estes itens com transparência adequada.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rFonts w:ascii="Calibri" w:hAnsi="Calibri"/>
          <w:b/>
          <w:i w:val="0"/>
          <w:color w:val="1E5296"/>
          <w:sz w:val="25"/>
        </w:rPr>
        <w:t>Condições para Avanço (devem ser atendidas antes ou no M-0)</w:t>
      </w:r>
    </w:p>
    <w:p/>
    <w:tbl>
      <w:tblPr>
        <w:tblStyle w:val="TableGrid"/>
        <w:tblLook w:firstColumn="1" w:firstRow="1" w:lastColumn="0" w:lastRow="0" w:noHBand="0" w:noVBand="1" w:val="04A0"/>
        <w:tblW w:w="8901" w:type="dxa"/>
        <w:tblLayout w:type="fixed"/>
      </w:tblPr>
      <w:tblGrid>
        <w:gridCol w:w="1020"/>
        <w:gridCol w:w="2627"/>
        <w:gridCol w:w="2627"/>
        <w:gridCol w:w="2627"/>
      </w:tblGrid>
      <w:tr>
        <w:tc>
          <w:tcPr>
            <w:tcW w:w="1020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2627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Condição</w:t>
            </w:r>
          </w:p>
        </w:tc>
        <w:tc>
          <w:tcPr>
            <w:tcW w:w="2627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Documento</w:t>
            </w:r>
          </w:p>
        </w:tc>
        <w:tc>
          <w:tcPr>
            <w:tcW w:w="2627" w:type="dxa"/>
            <w:shd w:val="clear" w:color="auto" w:fill="1A3A5C"/>
          </w:tcPr>
          <w:p>
            <w:r>
              <w:rPr>
                <w:b/>
                <w:color w:val="FFFFFF"/>
                <w:sz w:val="19"/>
              </w:rPr>
              <w:t>Prazo</w:t>
            </w:r>
          </w:p>
        </w:tc>
      </w:tr>
      <w:tr>
        <w:tc>
          <w:tcPr>
            <w:tcW w:w="1020" w:type="dxa"/>
          </w:tcPr>
          <w:p>
            <w:r>
              <w:rPr>
                <w:sz w:val="19"/>
              </w:rPr>
              <w:t>C-TAP-1</w:t>
            </w:r>
          </w:p>
        </w:tc>
        <w:tc>
          <w:tcPr>
            <w:tcW w:w="2627" w:type="dxa"/>
          </w:tcPr>
          <w:p>
            <w:r>
              <w:rPr>
                <w:sz w:val="19"/>
              </w:rPr>
              <w:t>Designar GP e documentar autoridade no TAP</w:t>
            </w:r>
          </w:p>
        </w:tc>
        <w:tc>
          <w:tcPr>
            <w:tcW w:w="2627" w:type="dxa"/>
          </w:tcPr>
          <w:p>
            <w:r>
              <w:rPr>
                <w:sz w:val="19"/>
              </w:rPr>
              <w:t>TAP</w:t>
            </w:r>
          </w:p>
        </w:tc>
        <w:tc>
          <w:tcPr>
            <w:tcW w:w="2627" w:type="dxa"/>
          </w:tcPr>
          <w:p>
            <w:r>
              <w:rPr>
                <w:sz w:val="19"/>
              </w:rPr>
              <w:t>M-0 (06/06/2026)</w:t>
            </w:r>
          </w:p>
        </w:tc>
      </w:tr>
      <w:tr>
        <w:tc>
          <w:tcPr>
            <w:tcW w:w="1020" w:type="dxa"/>
            <w:shd w:val="clear" w:color="auto" w:fill="F0F5FB"/>
          </w:tcPr>
          <w:p>
            <w:r>
              <w:rPr>
                <w:sz w:val="19"/>
              </w:rPr>
              <w:t>C-TAP-2</w:t>
            </w:r>
          </w:p>
        </w:tc>
        <w:tc>
          <w:tcPr>
            <w:tcW w:w="2627" w:type="dxa"/>
            <w:shd w:val="clear" w:color="auto" w:fill="F0F5FB"/>
          </w:tcPr>
          <w:p>
            <w:r>
              <w:rPr>
                <w:sz w:val="19"/>
              </w:rPr>
              <w:t>Atualizar TAP com sponsor Diretor+ (pós CB-Sponsor)</w:t>
            </w:r>
          </w:p>
        </w:tc>
        <w:tc>
          <w:tcPr>
            <w:tcW w:w="2627" w:type="dxa"/>
            <w:shd w:val="clear" w:color="auto" w:fill="F0F5FB"/>
          </w:tcPr>
          <w:p>
            <w:r>
              <w:rPr>
                <w:sz w:val="19"/>
              </w:rPr>
              <w:t>TAP</w:t>
            </w:r>
          </w:p>
        </w:tc>
        <w:tc>
          <w:tcPr>
            <w:tcW w:w="2627" w:type="dxa"/>
            <w:shd w:val="clear" w:color="auto" w:fill="F0F5FB"/>
          </w:tcPr>
          <w:p>
            <w:r>
              <w:rPr>
                <w:sz w:val="19"/>
              </w:rPr>
              <w:t>M-0</w:t>
            </w:r>
          </w:p>
        </w:tc>
      </w:tr>
      <w:tr>
        <w:tc>
          <w:tcPr>
            <w:tcW w:w="1020" w:type="dxa"/>
          </w:tcPr>
          <w:p>
            <w:r>
              <w:rPr>
                <w:sz w:val="19"/>
              </w:rPr>
              <w:t>C-CRON-1</w:t>
            </w:r>
          </w:p>
        </w:tc>
        <w:tc>
          <w:tcPr>
            <w:tcW w:w="2627" w:type="dxa"/>
          </w:tcPr>
          <w:p>
            <w:r>
              <w:rPr>
                <w:sz w:val="19"/>
              </w:rPr>
              <w:t>Atualizar cronograma com responsáveis reais</w:t>
            </w:r>
          </w:p>
        </w:tc>
        <w:tc>
          <w:tcPr>
            <w:tcW w:w="2627" w:type="dxa"/>
          </w:tcPr>
          <w:p>
            <w:r>
              <w:rPr>
                <w:sz w:val="19"/>
              </w:rPr>
              <w:t>Cronograma</w:t>
            </w:r>
          </w:p>
        </w:tc>
        <w:tc>
          <w:tcPr>
            <w:tcW w:w="2627" w:type="dxa"/>
          </w:tcPr>
          <w:p>
            <w:r>
              <w:rPr>
                <w:sz w:val="19"/>
              </w:rPr>
              <w:t>M-0</w:t>
            </w:r>
          </w:p>
        </w:tc>
      </w:tr>
      <w:tr>
        <w:tc>
          <w:tcPr>
            <w:tcW w:w="1020" w:type="dxa"/>
            <w:shd w:val="clear" w:color="auto" w:fill="F0F5FB"/>
          </w:tcPr>
          <w:p>
            <w:r>
              <w:rPr>
                <w:sz w:val="19"/>
              </w:rPr>
              <w:t>C-SR-1</w:t>
            </w:r>
          </w:p>
        </w:tc>
        <w:tc>
          <w:tcPr>
            <w:tcW w:w="2627" w:type="dxa"/>
            <w:shd w:val="clear" w:color="auto" w:fill="F0F5FB"/>
          </w:tcPr>
          <w:p>
            <w:r>
              <w:rPr>
                <w:sz w:val="19"/>
              </w:rPr>
              <w:t>Adicionar % de conclusão global nos próximos status reports</w:t>
            </w:r>
          </w:p>
        </w:tc>
        <w:tc>
          <w:tcPr>
            <w:tcW w:w="2627" w:type="dxa"/>
            <w:shd w:val="clear" w:color="auto" w:fill="F0F5FB"/>
          </w:tcPr>
          <w:p>
            <w:r>
              <w:rPr>
                <w:sz w:val="19"/>
              </w:rPr>
              <w:t>Status Report</w:t>
            </w:r>
          </w:p>
        </w:tc>
        <w:tc>
          <w:tcPr>
            <w:tcW w:w="2627" w:type="dxa"/>
            <w:shd w:val="clear" w:color="auto" w:fill="F0F5FB"/>
          </w:tcPr>
          <w:p>
            <w:r>
              <w:rPr>
                <w:sz w:val="19"/>
              </w:rPr>
              <w:t>M-0+</w:t>
            </w:r>
          </w:p>
        </w:tc>
      </w:tr>
    </w:tbl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rFonts w:ascii="Calibri" w:hAnsi="Calibri"/>
          <w:b/>
          <w:i w:val="0"/>
          <w:color w:val="1E5296"/>
          <w:sz w:val="25"/>
        </w:rPr>
        <w:t>Recomendações para a Fase de Execução</w:t>
      </w:r>
    </w:p>
    <w:p/>
    <w:p>
      <w:pPr>
        <w:pStyle w:val="ListNumber"/>
      </w:pPr>
      <w:r/>
      <w:r>
        <w:rPr>
          <w:b/>
        </w:rPr>
        <w:t>Prioridade absoluta:</w:t>
      </w:r>
      <w:r>
        <w:t xml:space="preserve"> R-001 (autorização Holding) deve ser tratado como risco de projeto</w:t>
      </w:r>
    </w:p>
    <w:p>
      <w:r>
        <w:t xml:space="preserve">   ativo, não apenas documentado. O GP deve confirmar custo zero formalmente antes de qualquer</w:t>
      </w:r>
    </w:p>
    <w:p>
      <w:r>
        <w:t xml:space="preserve">   gasto, mesmo que mínimo. Este é o risco com maior potencial de bloquear todo o projeto.</w:t>
      </w:r>
    </w:p>
    <w:p/>
    <w:p>
      <w:pPr>
        <w:pStyle w:val="ListNumber"/>
      </w:pPr>
      <w:r/>
      <w:r>
        <w:rPr>
          <w:b/>
        </w:rPr>
        <w:t>M-1 é o marco mais crítico do projeto (além do M-0):</w:t>
      </w:r>
      <w:r>
        <w:t xml:space="preserve"> O levantamento técnico (CB-2)</w:t>
      </w:r>
    </w:p>
    <w:p>
      <w:r>
        <w:t xml:space="preserve">   determina se o projeto permanece como Melhoria Evolutiva ou precisa ser reclassificado como</w:t>
      </w:r>
    </w:p>
    <w:p>
      <w:r>
        <w:t xml:space="preserve">   PROJETO. Alocar o recurso mais experiente da DTI para esta fase.</w:t>
      </w:r>
    </w:p>
    <w:p/>
    <w:p>
      <w:pPr>
        <w:pStyle w:val="ListNumber"/>
      </w:pPr>
      <w:r/>
      <w:r>
        <w:rPr>
          <w:b/>
        </w:rPr>
        <w:t>Iniciar habilitação Santander imediatamente no kick-off (Fase 3.1):</w:t>
      </w:r>
      <w:r>
        <w:t xml:space="preserve"> O processo bancário</w:t>
      </w:r>
    </w:p>
    <w:p>
      <w:r>
        <w:t xml:space="preserve">   é o único fator externo do caminho crítico. Qualquer atraso aqui consome diretamente o buffer.</w:t>
      </w:r>
    </w:p>
    <w:p/>
    <w:p>
      <w:pPr>
        <w:pStyle w:val="ListNumber"/>
      </w:pPr>
      <w:r/>
      <w:r>
        <w:rPr>
          <w:b/>
        </w:rPr>
        <w:t>ERF deve ser validada por Noemia antes do UAT:</w:t>
      </w:r>
      <w:r>
        <w:t xml:space="preserve"> A pesquisa de satisfação da iniciação</w:t>
      </w:r>
    </w:p>
    <w:p>
      <w:r>
        <w:t xml:space="preserve">   deve ser enviada junto com o pacote TAP para validação do escopo com o solicitante.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rPr>
          <w:rFonts w:ascii="Calibri" w:hAnsi="Calibri"/>
          <w:b/>
          <w:i w:val="0"/>
          <w:color w:val="1E5296"/>
          <w:sz w:val="25"/>
        </w:rPr>
        <w:t>Assinatura do Revisor</w:t>
      </w:r>
    </w:p>
    <w:p/>
    <w:p>
      <w:pPr>
        <w:pStyle w:val="ListBullet"/>
      </w:pPr>
      <w:r>
        <w:t>Revisado por: Vera Veredito — Revisora de Qualidade VMO Autônomo</w:t>
      </w:r>
    </w:p>
    <w:p>
      <w:pPr>
        <w:pStyle w:val="ListBullet"/>
      </w:pPr>
      <w:r>
        <w:t>Data: 2026-05-20</w:t>
      </w:r>
    </w:p>
    <w:p>
      <w:pPr>
        <w:pStyle w:val="ListBullet"/>
      </w:pPr>
      <w:r>
        <w:t>Versão do pacote revisado: v1.0</w:t>
      </w:r>
    </w:p>
    <w:p>
      <w:pPr>
        <w:pStyle w:val="ListBullet"/>
      </w:pPr>
      <w:r>
        <w:t>Revisão: 1 de 3</w:t>
      </w:r>
    </w:p>
    <w:p>
      <w:pPr>
        <w:pStyle w:val="ListBullet"/>
      </w:pPr>
      <w:r>
        <w:t>Próxima revisão: após gate de kick-off (M-0) com TAP e cronograma atualizados</w:t>
      </w:r>
    </w:p>
    <w:p/>
    <w:sectPr w:rsidR="00FC693F" w:rsidRPr="0006063C" w:rsidSect="00034616"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