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i w:val="0"/>
          <w:color w:val="1A3A5C"/>
          <w:sz w:val="30"/>
        </w:rPr>
        <w:t>Qualificação — Status de Aprovação</w:t>
      </w:r>
    </w:p>
    <w:p/>
    <w:p>
      <w:r/>
      <w:r>
        <w:rPr>
          <w:b/>
        </w:rPr>
        <w:t>Projeto:</w:t>
      </w:r>
      <w:r>
        <w:t xml:space="preserve"> PROJ-2026-009</w:t>
      </w:r>
    </w:p>
    <w:p>
      <w:r/>
      <w:r>
        <w:rPr>
          <w:b/>
        </w:rPr>
        <w:t>Demanda:</w:t>
      </w:r>
      <w:r>
        <w:t xml:space="preserve"> DEM-2026-009</w:t>
      </w:r>
    </w:p>
    <w:p>
      <w:r/>
      <w:r>
        <w:rPr>
          <w:b/>
        </w:rPr>
        <w:t>Data:</w:t>
      </w:r>
      <w:r>
        <w:t xml:space="preserve"> 2026-08-24</w:t>
      </w:r>
    </w:p>
    <w:p>
      <w:r/>
      <w:r>
        <w:rPr>
          <w:b/>
        </w:rPr>
        <w:t>Status:</w:t>
      </w:r>
      <w:r>
        <w:t xml:space="preserve"> SUSPENSA — Aguardando resolução de condições bloqueantes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Decisão do Stakeholder</w:t>
      </w:r>
    </w:p>
    <w:p/>
    <w:p>
      <w:r/>
      <w:r>
        <w:rPr>
          <w:b/>
        </w:rPr>
        <w:t>SUSPENDER</w:t>
      </w:r>
      <w:r>
        <w:t xml:space="preserve"> — O stakeholder decidiu aguardar a resolução das condições bloqueantes antes de prosseguir para a fase de documentação.</w:t>
      </w: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Condições a Resolver Antes de Retomar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CB</w:t>
            </w:r>
          </w:p>
        </w:tc>
        <w:tc>
          <w:tcPr>
            <w:tcW w:type="dxa" w:w="2309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Descrição</w:t>
            </w:r>
          </w:p>
        </w:tc>
        <w:tc>
          <w:tcPr>
            <w:tcW w:type="dxa" w:w="2309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Responsável</w:t>
            </w:r>
          </w:p>
        </w:tc>
        <w:tc>
          <w:tcPr>
            <w:tcW w:type="dxa" w:w="2309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Prazo Sugerido</w:t>
            </w:r>
          </w:p>
        </w:tc>
      </w:tr>
      <w:tr>
        <w:tc>
          <w:tcPr>
            <w:tcW w:type="dxa" w:w="2309"/>
          </w:tcPr>
          <w:p>
            <w:r>
              <w:rPr>
                <w:sz w:val="19"/>
              </w:rPr>
              <w:t>CB-1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Obter aprovação formal de Diretoria (sponsor Diretor+)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Jairo de Melo Ferreira Mendes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2026-09-05</w:t>
            </w:r>
          </w:p>
        </w:tc>
      </w:tr>
      <w:tr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CB-2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Identificar e obter aprovação do Gerente de TI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Jairo + DTI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2026-09-05</w:t>
            </w:r>
          </w:p>
        </w:tc>
      </w:tr>
      <w:tr>
        <w:tc>
          <w:tcPr>
            <w:tcW w:type="dxa" w:w="2309"/>
          </w:tcPr>
          <w:p>
            <w:r>
              <w:rPr>
                <w:sz w:val="19"/>
              </w:rPr>
              <w:t>CB-3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Formalizar orçamento com centro de custo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Ana Sílvia Kallegard (Controladoria)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2026-09-12</w:t>
            </w:r>
          </w:p>
        </w:tc>
      </w:tr>
      <w:tr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CB-4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Concluir estudo de viabilidade técnica da DTI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DTI (responsável a nomear)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2026-09-12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Para Retomar</w:t>
      </w:r>
    </w:p>
    <w:p/>
    <w:p>
      <w:r>
        <w:t>Quando as condições bloqueantes (especialmente CB-1 e CB-2, que são obrigatórias conforme regras do squad) forem resolvidas, executar novamente o pipeline a partir do Checkpoint 9 (Aprovar Qualificação) com as evidências das aprovações.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Resumo do Parecer (para referência)</w:t>
      </w:r>
    </w:p>
    <w:p/>
    <w:p>
      <w:pPr>
        <w:pStyle w:val="ListBullet"/>
      </w:pPr>
      <w:r/>
      <w:r>
        <w:rPr>
          <w:b/>
        </w:rPr>
        <w:t>Classificação:</w:t>
      </w:r>
      <w:r>
        <w:t xml:space="preserve"> PROJETO (pipeline VMO completo)</w:t>
      </w:r>
    </w:p>
    <w:p>
      <w:pPr>
        <w:pStyle w:val="ListBullet"/>
      </w:pPr>
      <w:r/>
      <w:r>
        <w:rPr>
          <w:b/>
        </w:rPr>
        <w:t>Pontuação:</w:t>
      </w:r>
      <w:r>
        <w:t xml:space="preserve"> 58/100 (58%)</w:t>
      </w:r>
    </w:p>
    <w:p>
      <w:pPr>
        <w:pStyle w:val="ListBullet"/>
      </w:pPr>
      <w:r/>
      <w:r>
        <w:rPr>
          <w:b/>
        </w:rPr>
        <w:t>Decisão Felipe Filtro:</w:t>
      </w:r>
      <w:r>
        <w:t xml:space="preserve"> APROVADO COM CONDIÇÕES</w:t>
      </w:r>
    </w:p>
    <w:p>
      <w:pPr>
        <w:pStyle w:val="ListBullet"/>
      </w:pPr>
      <w:r/>
      <w:r>
        <w:rPr>
          <w:b/>
        </w:rPr>
        <w:t>Esforço estimado:</w:t>
      </w:r>
      <w:r>
        <w:t xml:space="preserve"> 180–290h (Rafael Requisito)</w:t>
      </w:r>
    </w:p>
    <w:p>
      <w:pPr>
        <w:pStyle w:val="ListBullet"/>
      </w:pPr>
      <w:r/>
      <w:r>
        <w:rPr>
          <w:b/>
        </w:rPr>
        <w:t>ROI estimado:</w:t>
      </w:r>
      <w:r>
        <w:t xml:space="preserve"> Investimento R$ 82k–100k, benefício R$ 66k/ano, payback 15–18 meses (confiança BAIXA)</w:t>
      </w:r>
    </w:p>
    <w:p>
      <w:pPr>
        <w:pStyle w:val="ListBullet"/>
      </w:pPr>
      <w:r/>
      <w:r>
        <w:rPr>
          <w:b/>
        </w:rPr>
        <w:t>Proposta de valor:</w:t>
      </w:r>
      <w:r>
        <w:t xml:space="preserve"> Integração SAP-GRLOG eliminará cadastro manual de 5 pessoas, garantindo dados de receita confiáveis no BI.</w:t>
      </w:r>
    </w:p>
    <w:p/>
    <w:p>
      <w:pPr>
        <w:pBdr>
          <w:bottom w:val="single" w:sz="6" w:space="1" w:color="CCCCCC"/>
        </w:pBdr>
      </w:pPr>
    </w:p>
    <w:p/>
    <w:p>
      <w:r>
        <w:t>*Documento gerado pelo VMO Autônomo Squad | Checkpoint Step 9 | 2026-08-24*</w:t>
      </w:r>
    </w:p>
    <w:p/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