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Sizing Inicial de Escopo</w:t>
      </w:r>
    </w:p>
    <w:p/>
    <w:p>
      <w:r/>
      <w:r>
        <w:rPr>
          <w:b/>
        </w:rPr>
        <w:t>Projeto:</w:t>
      </w:r>
      <w:r>
        <w:t xml:space="preserve"> PROJ-2026-009</w:t>
      </w:r>
    </w:p>
    <w:p>
      <w:r/>
      <w:r>
        <w:rPr>
          <w:b/>
        </w:rPr>
        <w:t>Demanda:</w:t>
      </w:r>
      <w:r>
        <w:t xml:space="preserve"> DEM-2026-009</w:t>
      </w:r>
    </w:p>
    <w:p>
      <w:r/>
      <w:r>
        <w:rPr>
          <w:b/>
        </w:rPr>
        <w:t>Data:</w:t>
      </w:r>
      <w:r>
        <w:t xml:space="preserve"> 2026-08-24</w:t>
      </w:r>
    </w:p>
    <w:p>
      <w:r/>
      <w:r>
        <w:rPr>
          <w:b/>
        </w:rPr>
        <w:t>Analista:</w:t>
      </w:r>
      <w:r>
        <w:t xml:space="preserve"> Rafael Requisito — Engenheiro de Requisitos</w:t>
      </w:r>
    </w:p>
    <w:p>
      <w:r/>
      <w:r>
        <w:rPr>
          <w:b/>
        </w:rPr>
        <w:t>Fase:</w:t>
      </w:r>
      <w:r>
        <w:t xml:space="preserve"> Pré-qualificação (subsidia critério 7 do Felipe Filtro)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Escopo Preliminar Identificado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Clareza do Escopo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Integração SAP → GRLOG para centros de custo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Integração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Claro — entidades e fluxo declarados [01:40-02:08]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Integração SAP → GRLOG para centros de lucro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Integração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Claro — mesmo fluxo da linha 1, entidade diferente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Integração SAP → GRLOG para clientes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Integração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Claro — mesmo mecanismo, terceira entidade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Mapeamento de campos SAP → GRLOG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Configuração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Incerto — regras de correspondência não detalhadas (Lacuna L7)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Rotina de sincronização diária automatizada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Desenvolvimento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Incerto — método de integração não definido: API, RFC, flat file ou middleware (Lacuna L4)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Tratamento de erros e notificações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Desenvolvimento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A confirmar — nenhum requisito de erro/rollback foi discutido (Lacuna L8)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Monitoramento e logs da integração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Configuração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 confirmar — não mencionado, mas implícito para operação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Estimativa de Esforço por Fase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847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Atividades</w:t>
            </w:r>
          </w:p>
        </w:tc>
        <w:tc>
          <w:tcPr>
            <w:tcW w:type="dxa" w:w="1847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Estimativa</w:t>
            </w:r>
          </w:p>
        </w:tc>
        <w:tc>
          <w:tcPr>
            <w:tcW w:type="dxa" w:w="1847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Confiança</w:t>
            </w:r>
          </w:p>
        </w:tc>
        <w:tc>
          <w:tcPr>
            <w:tcW w:type="dxa" w:w="1847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Premissas</w:t>
            </w:r>
          </w:p>
        </w:tc>
      </w:tr>
      <w:tr>
        <w:tc>
          <w:tcPr>
            <w:tcW w:type="dxa" w:w="1847"/>
          </w:tcPr>
          <w:p>
            <w:r>
              <w:rPr>
                <w:sz w:val="19"/>
              </w:rPr>
              <w:t>Levantamento de requisitos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Elicitação com Jairo e equipe GRLOG; mapeamento de campos SAP→GRLOG; definição do método de integração com DTI; documentação de regras de negócio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40–60h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MÉDIA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DTI participa ativamente; acesso aos ambientes SAP e GRLOG disponível para análise; 2-3 workshops necessários</w:t>
            </w:r>
          </w:p>
        </w:tc>
      </w:tr>
      <w:tr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Desenvolvimento/Configuração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Desenvolvimento da rotina de integração (extração SAP, transformação, carga GRLOG); configuração de agendamento diário; tratamento de erros e retry; logs e notificações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80–140h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BAIXA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Depende fortemente do método de integração: API REST com documentação boa = ~80h; RFC SAP com customização = ~120h; middleware (ex: PI/PO) = ~140h. Premissa: 3 entidades com estrutura similar reduzem retrabalho por reuso</w:t>
            </w:r>
          </w:p>
        </w:tc>
      </w:tr>
      <w:tr>
        <w:tc>
          <w:tcPr>
            <w:tcW w:type="dxa" w:w="1847"/>
          </w:tcPr>
          <w:p>
            <w:r>
              <w:rPr>
                <w:sz w:val="19"/>
              </w:rPr>
              <w:t>Testes e homologação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Testes unitários da integração; testes integrados com dados reais (ambiente de homologação); UAT com equipe de Gestão da Receita; validação de dados no BI GRLOG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40–60h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MÉDIA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Ambientes de homologação SAP e GRLOG disponíveis; massa de teste representativa; 1 ciclo de UAT com correções</w:t>
            </w:r>
          </w:p>
        </w:tc>
      </w:tr>
      <w:tr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Go-live e suporte inicial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Deploy em produção; monitoramento da primeira semana de execução diária; ajustes finos; documentação operacional; treinamento da equipe de suporte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20–30h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ALTA</w:t>
            </w:r>
          </w:p>
        </w:tc>
        <w:tc>
          <w:tcPr>
            <w:tcW w:type="dxa" w:w="1847"/>
            <w:shd w:val="clear" w:color="auto" w:fill="F0F5FB"/>
          </w:tcPr>
          <w:p>
            <w:r>
              <w:rPr>
                <w:sz w:val="19"/>
              </w:rPr>
              <w:t>Deploy padrão com rollback planejado; equipe de suporte existente absorve operação</w:t>
            </w:r>
          </w:p>
        </w:tc>
      </w:tr>
      <w:tr>
        <w:tc>
          <w:tcPr>
            <w:tcW w:type="dxa" w:w="1847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180–290h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BAIXA</w:t>
            </w:r>
          </w:p>
        </w:tc>
        <w:tc>
          <w:tcPr>
            <w:tcW w:type="dxa" w:w="1847"/>
          </w:tcPr>
          <w:p>
            <w:r>
              <w:rPr>
                <w:sz w:val="19"/>
              </w:rPr>
              <w:t>Faixa ampla reflete a incerteza sobre método de integração e mapeamento de campos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Classificação de Esforço</w:t>
      </w:r>
    </w:p>
    <w:p/>
    <w:p>
      <w:pPr>
        <w:pStyle w:val="ListBullet"/>
      </w:pPr>
      <w:r>
        <w:t>[ ] &lt; 80h — Melhoria Corretiva/Evolutiva simples</w:t>
      </w:r>
    </w:p>
    <w:p>
      <w:pPr>
        <w:pStyle w:val="ListBullet"/>
      </w:pPr>
      <w:r>
        <w:t>[ ] 80–160h — Melhoria Evolutiva complexa</w:t>
      </w:r>
    </w:p>
    <w:p>
      <w:pPr>
        <w:pStyle w:val="ListBullet"/>
      </w:pPr>
      <w:r>
        <w:t xml:space="preserve">[X] &gt; 160h — </w:t>
      </w:r>
      <w:r>
        <w:rPr>
          <w:b/>
        </w:rPr>
        <w:t>Projeto formal</w:t>
      </w:r>
      <w:r>
        <w:t xml:space="preserve"> (exige pipeline VMO completo)</w:t>
      </w:r>
    </w:p>
    <w:p/>
    <w:p>
      <w:r/>
      <w:r>
        <w:rPr>
          <w:b/>
        </w:rPr>
        <w:t>Justificativa:</w:t>
      </w:r>
      <w:r>
        <w:t xml:space="preserve"> Mesmo no cenário otimista (180h), o esforço ultrapassa o limiar de 160h. A integração entre dois sistemas corporativos (SAP e GRLOG) com 3 entidades, rotina automatizada diária, tratamento de erros e impacto em +200 usuários configura complexidade de projeto, não de melhoria evolutiva.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Fatores de Risco que Afetam o Esforço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Fator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Impacto se confirmado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Probabilidade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Método de integração via RFC SAP customizado (sem API REST disponível)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+40–60h sobre cenário base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MÉDIA — SAP geralmente oferece RFC para dados cadastrais, mas depende da versão e módulo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Campos SAP com transformação necessária (não cópia direta)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+20–30h para regras de mapeamento e validação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MÉDIA — solicitante mencionou "mesmos campos" [02:25-02:44], mas pode haver divergências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Necessidade de middleware corporativo (SAP PI/PO ou similar)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+30–50h de configuração e testes adicionais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BAIXA — depende da arquitetura de integração da empresa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Múltiplos ambientes SAP (produção, homologação, desenvolvimento) com configurações diferentes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+15–25h de configuração por ambiente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MÉDIA — padrão em empresas com SAP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Requisitos adicionais de segurança/compliance para dados de clientes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+20–40h para criptografia, auditoria, LGPD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BAIXA — solicitante indicou "nenhum requisito legal/regulatório" [08:29], mas dados de clientes podem acionar LGPD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Lacunas de Escopo (para ERF futura)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Lacuna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Por que afeta o esforço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Método de integração (API, RFC, flat file, middleware)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Pode variar de 80h (API documentada) a 140h (RFC customizado). É o maior fator de incerteza da estimativa.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Mapeamento de campos entre SAP e GRLOG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Se houver transformação além de cópia direta, adiciona 20-30h de regras de negócio e testes.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Volumetria diária de registros novos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Alto volume (&gt;1000/dia) pode exigir otimização de performance; baixo volume (&lt;50/dia) simplifica.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Existência de APIs ou serviços já disponíveis no SAP/GRLOG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Serviços existentes reduziriam significativamente o desenvolvimento (até -40h).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Tratamento de cenários de falha e requisitos de SLA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Se exigido SLA de 99.9% com retry automático e alertas, adiciona 20-30h sobre o básico.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Nota para Felipe Filtro</w:t>
      </w:r>
    </w:p>
    <w:p/>
    <w:p>
      <w:r/>
      <w:r>
        <w:rPr>
          <w:b/>
        </w:rPr>
        <w:t>Classificação: Projeto formal (&gt;160h).</w:t>
      </w:r>
      <w:r>
        <w:t xml:space="preserve"> O esforço total estimado é de </w:t>
      </w:r>
      <w:r>
        <w:rPr>
          <w:b/>
        </w:rPr>
        <w:t>180–290h</w:t>
      </w:r>
      <w:r>
        <w:t xml:space="preserve"> com confiança </w:t>
      </w:r>
      <w:r>
        <w:rPr>
          <w:b/>
        </w:rPr>
        <w:t>BAIXA</w:t>
      </w:r>
      <w:r>
        <w:t xml:space="preserve"> — a faixa é ampla porque o método de integração SAP→GRLOG não foi definido (API vs RFC vs middleware). Mesmo no cenário mais otimista (180h), ultrapassa o limiar de melhoria evolutiva. O escopo envolve integração entre dois sistemas corporativos com 3 entidades, rotina automatizada diária e impacto em +200 usuários, o que confirma a classificação como projeto. Para o critério 7 (Esforço Estimado), recomendo pontuar como </w:t>
      </w:r>
      <w:r>
        <w:rPr>
          <w:b/>
        </w:rPr>
        <w:t>Projeto</w:t>
      </w:r>
      <w:r>
        <w:t xml:space="preserve"> com nota indicativa de complexidade média-alta.</w:t>
      </w:r>
    </w:p>
    <w:p/>
    <w:p>
      <w:pPr>
        <w:pBdr>
          <w:bottom w:val="single" w:sz="6" w:space="1" w:color="CCCCCC"/>
        </w:pBdr>
      </w:pPr>
    </w:p>
    <w:p/>
    <w:p>
      <w:r>
        <w:t>*Sizing executado por Rafael Requisito — Engenheiro de Requisitos | VMO Autônomo Squad | 2026-08-24*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