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Documentação Base de Iniciação — Implantação DDA SAP — VAB Matriz</w:t>
      </w:r>
    </w:p>
    <w:p>
      <w:r>
        <w:t>Elaborado por: Diana Documento (VMO Autônomo)</w:t>
      </w:r>
    </w:p>
    <w:p>
      <w:r>
        <w:t>Data: 2026-05-20</w:t>
      </w:r>
    </w:p>
    <w:p>
      <w:r>
        <w:t>Versão: 1.0 — Rascunho para aprovação do sponsor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TERMO DE ABERTURA DO PROJETO (TAP)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Identificação do Projeto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Nome do Projeto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Implantação DDA (Débito Direto Autorizado) no SAP — Contas a Pagar VAB Matriz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DEM-2026-007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Código Interno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PROJ-VAB-2026-DDA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Área Solicitante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VAB Matriz — Contas a Pagar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Área Executora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DTI — Sustentação ERP FI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Centro de Custo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200195148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Integração Principal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SAP FI x Santander (DDA / CNAB 240)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Autorização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Papel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Cargo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Autoridade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Sponsor (provisório)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Gerência TI e Projetos Estratégicos — VAB Matriz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Aprovar demandas técnicas; autoridade orçamentária a confirmar (CB-Sponsor)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Solicitante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Lucas Medeiros Pereira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VAB Matriz — CP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Beneficiário do projeto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Coordenadora de Processo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Noemia Tambara Cardoso Malini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VAB Matriz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Ponto focal do negócio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Gerente de Projeto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 designar pelo DTI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 definir no kick-off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Autoridade do GP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 definir no kick-off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Quote"/>
      </w:pPr>
      <w:r>
        <w:t>**Nota de governança:** CB-Sponsor em aberto — sponsor Diretor+ não identificado.</w:t>
      </w:r>
    </w:p>
    <w:p>
      <w:pPr>
        <w:pStyle w:val="Quote"/>
      </w:pPr>
      <w:r>
        <w:t>Gladston Campos (Gerente) exerce o papel provisoriamente. Resolução obrigatória antes do gate de kick-off.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Objetivo do Projeto</w:t>
      </w:r>
    </w:p>
    <w:p/>
    <w:p>
      <w:r>
        <w:t>Implantar a recepção automática de boletos via DDA (Débito Direto Autorizado) integrada ao</w:t>
      </w:r>
    </w:p>
    <w:p>
      <w:r>
        <w:t>SAP FI para o Contas a Pagar da VAB Matriz, mediante replicação com ajustes do modelo em</w:t>
      </w:r>
    </w:p>
    <w:p>
      <w:r>
        <w:t>produção na Divisão Logística do Grupo Águia Branca, **eliminando 100% da digitação manual</w:t>
      </w:r>
    </w:p>
    <w:p>
      <w:r>
        <w:t>de códigos de barras e 100% da dependência de terceiros para obtenção de boletos**, com</w:t>
      </w:r>
    </w:p>
    <w:p>
      <w:r>
        <w:t xml:space="preserve">go-live operacional até </w:t>
      </w:r>
      <w:r>
        <w:rPr>
          <w:b/>
        </w:rPr>
        <w:t>30/09/2026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Justificativa</w:t>
      </w:r>
    </w:p>
    <w:p/>
    <w:p>
      <w:r>
        <w:t>O processo atual de pagamento de boletos no CP da VAB Matriz exige impressão física ou</w:t>
      </w:r>
    </w:p>
    <w:p>
      <w:r>
        <w:t>digitação manual do código de barras no SAP. Quando o boleto não está disponível no sistema</w:t>
      </w:r>
    </w:p>
    <w:p>
      <w:r>
        <w:t>no momento do pagamento, o colaborador precisa solicitá-lo a terceiros, causando atrasos,</w:t>
      </w:r>
    </w:p>
    <w:p>
      <w:r>
        <w:t>erros e desgaste operacional contínuo da equipe. A solução de DDA já está implantada e em</w:t>
      </w:r>
    </w:p>
    <w:p>
      <w:r>
        <w:t>produção na Divisão Logística do Grupo Águia Branca (mesmo ambiente SAP) e na unidade VIX,</w:t>
      </w:r>
    </w:p>
    <w:p>
      <w:r>
        <w:t>demonstrando viabilidade técnica e organizacional. A iniciativa está alinhada com o</w:t>
      </w:r>
    </w:p>
    <w:p>
      <w:r>
        <w:t>programa "Controladoria do Futuro" da VAB Matriz e com os objetivos de automação financeira</w:t>
      </w:r>
    </w:p>
    <w:p>
      <w:r>
        <w:t>do Grupo Águia Branca.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Escopo</w:t>
      </w:r>
    </w:p>
    <w:p/>
    <w:p>
      <w:r/>
      <w:r>
        <w:rPr>
          <w:b/>
        </w:rPr>
        <w:t>DENTRO DO ESCOPO:</w:t>
      </w:r>
      <w:r/>
    </w:p>
    <w:p>
      <w:pPr>
        <w:pStyle w:val="ListBullet"/>
      </w:pPr>
      <w:r>
        <w:t>Configuração do serviço DDA no ambiente SAP FI da VAB Matriz</w:t>
      </w:r>
    </w:p>
    <w:p>
      <w:pPr>
        <w:pStyle w:val="ListBullet"/>
      </w:pPr>
      <w:r>
        <w:t>Integração SAP x Santander via CNAB 240 para recepção eletrônica de boletos</w:t>
      </w:r>
    </w:p>
    <w:p>
      <w:pPr>
        <w:pStyle w:val="ListBullet"/>
      </w:pPr>
      <w:r>
        <w:t>Habilitação da conta corrente Santander da VAB Matriz para o serviço DDA (junto ao banco)</w:t>
      </w:r>
    </w:p>
    <w:p>
      <w:pPr>
        <w:pStyle w:val="ListBullet"/>
      </w:pPr>
      <w:r>
        <w:t>Ajustes de configuração específicos para o processo de CP da VAB Matriz (a especificar no Step 8)</w:t>
      </w:r>
    </w:p>
    <w:p>
      <w:pPr>
        <w:pStyle w:val="ListBullet"/>
      </w:pPr>
      <w:r>
        <w:t>Testes integrados com ambiente Santander (homologação DDA)</w:t>
      </w:r>
    </w:p>
    <w:p>
      <w:pPr>
        <w:pStyle w:val="ListBullet"/>
      </w:pPr>
      <w:r>
        <w:t>Treinamento da equipe de CP da VAB Matriz no novo processo</w:t>
      </w:r>
    </w:p>
    <w:p>
      <w:pPr>
        <w:pStyle w:val="ListBullet"/>
      </w:pPr>
      <w:r>
        <w:t>Documentação técnica da implementação (diferencial em relação à Div. Logística)</w:t>
      </w:r>
    </w:p>
    <w:p>
      <w:pPr>
        <w:pStyle w:val="ListBullet"/>
      </w:pPr>
      <w:r>
        <w:t>Go-live supervisionado com acompanhamento pós-implantação (30 dias)</w:t>
      </w:r>
    </w:p>
    <w:p/>
    <w:p>
      <w:r/>
      <w:r>
        <w:rPr>
          <w:b/>
        </w:rPr>
        <w:t>FORA DO ESCOPO:</w:t>
      </w:r>
      <w:r/>
    </w:p>
    <w:p>
      <w:pPr>
        <w:pStyle w:val="ListBullet"/>
      </w:pPr>
      <w:r>
        <w:t>Outras divisões do Grupo Águia Branca (expansão futura, se aplicável)</w:t>
      </w:r>
    </w:p>
    <w:p>
      <w:pPr>
        <w:pStyle w:val="ListBullet"/>
      </w:pPr>
      <w:r>
        <w:t>Outros bancos além do Santander</w:t>
      </w:r>
    </w:p>
    <w:p>
      <w:pPr>
        <w:pStyle w:val="ListBullet"/>
      </w:pPr>
      <w:r>
        <w:t>Automação de outros processos de Contas a Pagar além de DDA</w:t>
      </w:r>
    </w:p>
    <w:p>
      <w:pPr>
        <w:pStyle w:val="ListBullet"/>
      </w:pPr>
      <w:r>
        <w:t>Substituição ou upgrade de versão do SAP FI</w:t>
      </w:r>
    </w:p>
    <w:p>
      <w:pPr>
        <w:pStyle w:val="ListBullet"/>
      </w:pPr>
      <w:r>
        <w:t>Integração com outros módulos SAP além do FI (CO, MM — apenas se identificado como necessário nos ajustes)</w:t>
      </w:r>
    </w:p>
    <w:p>
      <w:pPr>
        <w:pStyle w:val="ListBullet"/>
      </w:pPr>
      <w:r>
        <w:t>Gestão de boletos emitidos pela VAB (foco é recebimento de boletos de fornecedores/tributos)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Critérios de Sucesso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Prazo de Verificação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CS-1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Recepção automática de boletos DDA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 dos boletos DDA Santander importados no SAP sem digitação manual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30 dias pós-go-live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CS-2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Eliminação de dependência de terceiros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Zero ocorrências de atraso de pagamento por ausência de boleto digital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60 dias pós-go-live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CS-3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Satisfação da equipe CP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Nota ≥ 8/10 na pesquisa pós-implantação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30 dias pós-go-live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CS-4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Prazo de entrega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Go-live em produção até 30/09/2026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Data de go-live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Premissas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Premissa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P-1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 ambiente SAP FI da VAB Matriz é equivalente ao da Divisão Logística para fins de configuração DDA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P-2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 Divisão Logística disponibilizará seus parâmetros de configuração DDA como referência para a equipe técnica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P-3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 banco Santander aprovará a habilitação DDA para a conta da VAB Matriz em prazo compatível com o cronograma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P-4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 equipe de Contas a Pagar da VAB Matriz participará dos testes e treinamento conforme convocação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P-5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Os "ajustes necessários" identificados por Noemia são de parametrização, não de desenvolvimento ABAP (a confirmar no Step 8)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P-6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 investimento será zero ou suportado por horas de DTI interna (sem custo externo), satisfazendo a condição do Holding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Restrições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Restrição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R-1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Kickoff somente após formalização de custos e re-autorização do Holding (CB-3)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R-2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Sponsor com autoridade Diretor+ deve ser identificado antes do kickoff (CB-Sponsor)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R-3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Investimento externo máximo: R$0 — sem custo externo (condição Holding); se necessário custo externo, nova autorização obrigatória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R-4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Go-live somente com homologação completa junto ao Santander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R-5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Solução deve replicar o padrão CNAB 240 já aprovado no Grupo (mesma estrutura da Div. Logística)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R-6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Sem impacto em outros módulos SAP em produção (restrição de ambiente de produção)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Riscos de Alto Nível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Risco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Probabilidade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Nível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R-001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Autorização Holding torna-se inválida se houver qualquer custo externo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R-002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"Ajustes necessários" revelam-se mais complexos que replicação (reclassificação para PROJETO)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R-003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Habilitação DDA no Santander demora mais que o planejado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MÉDIO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R-004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Ambiente técnico da VAB difere da Div. Logística de forma não antecipada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MÉDIO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R-005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Resistência da equipe CP à mudança de processo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BAIXO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Partes Interessadas Principais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Papel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Influência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Engajamento atual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Sponsor provisório / Gerência TI VAB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FAVORÁVEL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Walace Bacelar da Silva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Autorizador Holding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CONDICIONAL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Noemia Tambara Cardoso Malini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Coordenadora de processo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FAVORÁVEL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Lucas Medeiros Pereira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Solicitante / Beneficiado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FAVORÁVEL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Viviane Cristina Caliari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Referência DTI Holding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NEUTRO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Equipe CP VAB Matriz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Usuários finais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FAVORÁVEL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Recurso técnico DTI (a designar)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Executor técnico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 definir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Orçamento Resumido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Horas DTI interna (estimativa)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80–160h × custo interno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Não contabilizado como investimento externo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Consultoria/serviços externos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R$0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Meta (condição Holding)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Licenças adicionais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R$0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Não previsto (replicação de config existente)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Reserva de contingência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R$2.000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Para eventualidades não previstas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 INVESTIMENTO EXTERNO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R$0 – R$2.000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confirmar no gate de kick-off (CB-3)</w:t>
            </w:r>
          </w:p>
        </w:tc>
      </w:tr>
    </w:tbl>
    <w:p/>
    <w:p>
      <w:pPr>
        <w:pStyle w:val="Quote"/>
      </w:pPr>
      <w:r>
        <w:t>Nota: se o levantamento técnico (CB-2) revelar necessidade de consultoria externa, o</w:t>
      </w:r>
    </w:p>
    <w:p>
      <w:pPr>
        <w:pStyle w:val="Quote"/>
      </w:pPr>
      <w:r>
        <w:t>orçamento será revisado e uma nova autorização do Holding será necessária antes do kickoff.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Cronograma Sumarizado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Marco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Data Estimada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Resolução CB-3 e CB-Sponsor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Até 30/05/2026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Pré-requisito para kick-off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Gate de 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Junho 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Após CBs resolvidas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Levantamento técnico (CB-2)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Junho 2026 — 2 semanas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Rafael Requisito + DTI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Configuração SAP + DDA Santander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Julho 2026 — 4 semanas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DTI + banco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Testes integrados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Agosto 2026 — 2 semanas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DTI + equipe CP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Go-live e treinamento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Setembro 2026 — 1 semana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Go-live meta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Acompanhamento pós-go-live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Outubro 2026 — 30 dias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Aprovação do TAP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Papel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Assinatura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Sponsor (provisório)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__________________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Coordenadora processo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Noemia Tambara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__________________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VMO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__________________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PM CANVAS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Bloco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1. JUSTIFICATIVA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 processo manual de boletos no CP da VAB Matriz gera desgaste operacional, erros e dependência de terceiros. A solução DDA elimina o problema com precedente interno (Div. Logística) comprovado.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2. OBJETIVO SMART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Implantar DDA no SAP FI da VAB Matriz, eliminando 100% da digitação manual e da dependência de terceiros para boletos, com go-live até 30/09/2026.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3. BENEFÍCIOS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(1) Zero digitação manual de código de barras; (2) Zero dependência de terceiros para boletos; (3) Redução de erros e atrasos de pagamento; (4) Alívio do desgaste da equipe CP; (5) Processo alinhado ao padrão GAB (Div. Logística + VIX)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4. PRODUTO / ENTREGÁVEIS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(1) DDA configurado no SAP FI VAB Matriz em produção; (2) Integração SAP x Santander CNAB 240 operacional; (3) Equipe CP treinada; (4) Documentação técnica da implementação; (5) Pesquisa de satisfação pós-go-live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5. REQUISITOS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RF: recepção automática de boletos DDA; importação SAP sem digitação manual; visualização e processamento no SAP FI. RNF: disponibilidade ≥ 99,5%; processamento de arquivo CNAB em ≤ 30 min; compatibilidade com versão SAP em uso.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6. STAKEHOLDERS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Sponsor: Gladston Campos (VAB TI). Solicitante: Lucas Medeiros (VAB CP). Coordenadora: Noemia Tambara (VAB). Autorizador: Walace Bacelar (Holding). Executores: DTI FI (a designar). Banco: Santander. Usuários: equipe CP VAB.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7. EQUIPE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GP: a designar pelo DTI. Recurso técnico FI SAP: a designar pelo DTI. Ponto focal negócio: Noemia. Suporte banco: Santander (agência VAB).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8. PREMISSAS E RESTRIÇÕES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Premissas: ambiente SAP equivalente à Div. Logística; ajustes são parametrização (não ABAP); Santander habilita DDA em tempo hábil; investimento zero externo. Restrições: kickoff somente após CB-3 e CB-Sponsor; sem custo externo sem re-autorização Holding.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9. RISCOS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(CRÍTICO) Autorização Holding inválida se houver custo. (ALTO) Ajustes mais complexos que replicação → reclassificação PROJETO. (MÉDIO) Habilitação Santander demorada. (MÉDIO) Diferença de ambiente VAB vs. Logística.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PLANO GERAL DO PROJETO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1. Plano de Gerenciamento de Escopo</w:t>
      </w:r>
    </w:p>
    <w:p/>
    <w:p>
      <w:r>
        <w:t>O escopo será gerenciado com base no TAP e na ERF (Especificação de Requisitos Funcionais — Step 8).</w:t>
      </w:r>
    </w:p>
    <w:p>
      <w:r>
        <w:t>Qualquer alteração de escopo pós-baseline requer Change Request formal aprovado pelo sponsor.</w:t>
      </w:r>
    </w:p>
    <w:p>
      <w:r>
        <w:t>O levantamento técnico dos ajustes (CB-2) no Step 8 é o mecanismo de refinamento do escopo dentro</w:t>
      </w:r>
    </w:p>
    <w:p>
      <w:r>
        <w:t>das condições aprovadas neste TAP. Se o resultado do Step 8 ampliar o escopo significativamente,</w:t>
      </w:r>
    </w:p>
    <w:p>
      <w:r>
        <w:t>o projeto será reclassificado como PROJETO e passará por novo ciclo de qualificação.</w:t>
      </w:r>
    </w:p>
    <w:p/>
    <w:p>
      <w:pPr>
        <w:pStyle w:val="Heading3"/>
      </w:pPr>
      <w:r>
        <w:rPr>
          <w:color w:val="404040"/>
          <w:sz w:val="24"/>
        </w:rPr>
        <w:t>2. Plano de Gerenciamento de Cronograma</w:t>
      </w:r>
    </w:p>
    <w:p/>
    <w:p>
      <w:r>
        <w:t>Metodologia: cronograma em fases com marcos binários (entregável completo / não completo).</w:t>
      </w:r>
    </w:p>
    <w:p>
      <w:r>
        <w:t xml:space="preserve">Ferramenta: documento </w:t>
      </w:r>
      <w:r>
        <w:rPr>
          <w:rFonts w:ascii="Courier New" w:hAnsi="Courier New"/>
          <w:sz w:val="20"/>
        </w:rPr>
        <w:t>cronograma.md</w:t>
      </w:r>
      <w:r>
        <w:t xml:space="preserve"> (Carlos Cronograma — Step 10).</w:t>
      </w:r>
    </w:p>
    <w:p>
      <w:r>
        <w:t>Desvios de até 5 dias são gerenciados pelo GP. Desvios &gt; 5 dias exigem notificação ao sponsor.</w:t>
      </w:r>
    </w:p>
    <w:p>
      <w:r>
        <w:t>Buffer de contingência: 15% do prazo total, centralizado ao final do projeto.</w:t>
      </w:r>
    </w:p>
    <w:p>
      <w:r>
        <w:t>Revisão de cronograma: a cada 2 semanas e em cada marco.</w:t>
      </w:r>
    </w:p>
    <w:p/>
    <w:p>
      <w:pPr>
        <w:pStyle w:val="Heading3"/>
      </w:pPr>
      <w:r>
        <w:rPr>
          <w:color w:val="404040"/>
          <w:sz w:val="24"/>
        </w:rPr>
        <w:t>3. Plano de Gerenciamento de Custos</w:t>
      </w:r>
    </w:p>
    <w:p/>
    <w:p>
      <w:r>
        <w:t>Investimento meta: R$0 (custo interno DTI). Limite máximo externo: R$2.000 (reserva de contingência).</w:t>
      </w:r>
    </w:p>
    <w:p>
      <w:r>
        <w:t>Qualquer gasto externo exige autorização prévia do sponsor E re-autorização do Holding (CB-3).</w:t>
      </w:r>
    </w:p>
    <w:p>
      <w:r>
        <w:t>Acompanhamento: EVM simplificado com CPI e SPI a cada 2 semanas.</w:t>
      </w:r>
    </w:p>
    <w:p>
      <w:r>
        <w:t>Desvios de custo acima de R$500 exigem notificação imediata ao sponsor.</w:t>
      </w:r>
    </w:p>
    <w:p/>
    <w:p>
      <w:pPr>
        <w:pStyle w:val="Heading3"/>
      </w:pPr>
      <w:r>
        <w:rPr>
          <w:color w:val="404040"/>
          <w:sz w:val="24"/>
        </w:rPr>
        <w:t>4. Plano de Gerenciamento da Qualidade</w:t>
      </w:r>
    </w:p>
    <w:p/>
    <w:p>
      <w:r>
        <w:t>Critérios de qualidade definidos na ERF (critérios de aceitação por RF).</w:t>
      </w:r>
    </w:p>
    <w:p>
      <w:r>
        <w:t>Testes obrigatórios antes do go-live: testes de unidade (config SAP), testes de integração</w:t>
      </w:r>
    </w:p>
    <w:p>
      <w:r>
        <w:t>(SAP x Santander), testes de aceitação do usuário (equipe CP VAB) com assinatura de aprovação.</w:t>
      </w:r>
    </w:p>
    <w:p>
      <w:r>
        <w:t>Critério de go-live: 100% dos RFs Must Have validados em homologação.</w:t>
      </w:r>
    </w:p>
    <w:p/>
    <w:p>
      <w:pPr>
        <w:pStyle w:val="Heading3"/>
      </w:pPr>
      <w:r>
        <w:rPr>
          <w:color w:val="404040"/>
          <w:sz w:val="24"/>
        </w:rPr>
        <w:t>5. Plano de Gerenciamento de Recursos</w:t>
      </w:r>
    </w:p>
    <w:p/>
    <w:p>
      <w:r>
        <w:t>Recurso técnico DTI: a designar por Gladston Campos após gate de kick-off.</w:t>
      </w:r>
    </w:p>
    <w:p>
      <w:r>
        <w:t>Ponto focal de negócio: Noemia Tambara — dedicação parcial (~2h/semana para validações).</w:t>
      </w:r>
    </w:p>
    <w:p>
      <w:r>
        <w:t>Equipe CP: participação nos testes de aceitação (1 semana) e treinamento (0,5 dia).</w:t>
      </w:r>
    </w:p>
    <w:p>
      <w:r>
        <w:t>Nenhum recurso externo previsto (meta custo zero).</w:t>
      </w:r>
    </w:p>
    <w:p/>
    <w:p>
      <w:pPr>
        <w:pStyle w:val="Heading3"/>
      </w:pPr>
      <w:r>
        <w:rPr>
          <w:color w:val="404040"/>
          <w:sz w:val="24"/>
        </w:rPr>
        <w:t>6. Plano de Gerenciamento das Comunicações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Comunicação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Frequência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Canal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Destinatários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Status Report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Quinzenal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E-mail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Gladston, Noemia, VMO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Reunião de ponto de controle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Por marco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Teams/presencial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GP + Noemia + DTI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Notificação de risco materializado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Imediato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E-mail/Teams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Sponsor + VMO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Pesquisa de satisfação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Pós-go-live (30 dias)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Formulário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Equipe CP VAB</w:t>
            </w:r>
          </w:p>
        </w:tc>
      </w:tr>
    </w:tbl>
    <w:p/>
    <w:p>
      <w:pPr>
        <w:pStyle w:val="Heading3"/>
      </w:pPr>
      <w:r>
        <w:rPr>
          <w:color w:val="404040"/>
          <w:sz w:val="24"/>
        </w:rPr>
        <w:t>7. Plano de Gerenciamento de Riscos</w:t>
      </w:r>
    </w:p>
    <w:p/>
    <w:p>
      <w:r>
        <w:t>Riscos identificados no TAP (5 riscos de alto nível).</w:t>
      </w:r>
    </w:p>
    <w:p>
      <w:r>
        <w:t xml:space="preserve">Plano detalhado em </w:t>
      </w:r>
      <w:r>
        <w:rPr>
          <w:rFonts w:ascii="Courier New" w:hAnsi="Courier New"/>
          <w:sz w:val="20"/>
        </w:rPr>
        <w:t>plano-riscos.md</w:t>
      </w:r>
      <w:r>
        <w:t xml:space="preserve"> (Pedro Perigo — Step 11).</w:t>
      </w:r>
    </w:p>
    <w:p>
      <w:r>
        <w:t>Revisão de riscos: a cada 2 semanas e em cada marco.</w:t>
      </w:r>
    </w:p>
    <w:p>
      <w:r>
        <w:t>Trigger para escalonamento: qualquer risco CRÍTICO ou ALTO que materializar vai imediatamente</w:t>
      </w:r>
    </w:p>
    <w:p>
      <w:r>
        <w:t>ao sponsor.</w:t>
      </w:r>
    </w:p>
    <w:p/>
    <w:p>
      <w:pPr>
        <w:pStyle w:val="Heading3"/>
      </w:pPr>
      <w:r>
        <w:rPr>
          <w:color w:val="404040"/>
          <w:sz w:val="24"/>
        </w:rPr>
        <w:t>8. Plano de Gerenciamento de Aquisições</w:t>
      </w:r>
    </w:p>
    <w:p/>
    <w:p>
      <w:r>
        <w:t>Não há aquisições externas previstas (meta custo zero).</w:t>
      </w:r>
    </w:p>
    <w:p>
      <w:r>
        <w:t>Se o levantamento técnico (CB-2) revelar necessidade de consultoria:</w:t>
      </w:r>
    </w:p>
    <w:p>
      <w:r>
        <w:t>(1) orçamento revisado e aprovado pelo sponsor; (2) re-autorização do Holding obtida (CB-3);</w:t>
      </w:r>
    </w:p>
    <w:p>
      <w:r>
        <w:t>(3) processo de contratação interno conforme política do Grupo.</w:t>
      </w:r>
    </w:p>
    <w:p/>
    <w:p>
      <w:pPr>
        <w:pStyle w:val="Heading3"/>
      </w:pPr>
      <w:r>
        <w:rPr>
          <w:color w:val="404040"/>
          <w:sz w:val="24"/>
        </w:rPr>
        <w:t>9. Plano de Gerenciamento de Stakeholders</w:t>
      </w:r>
    </w:p>
    <w:p/>
    <w:p>
      <w:r>
        <w:t>Engajamento monitorado via status reports quinzenais.</w:t>
      </w:r>
    </w:p>
    <w:p>
      <w:r>
        <w:t>Walace Bacelar (Holding): comunicação via Noemia → Gladston → Walace para qualquer</w:t>
      </w:r>
    </w:p>
    <w:p>
      <w:r>
        <w:t>mudança de custo ou escopo que afete a condição de sua autorização.</w:t>
      </w:r>
    </w:p>
    <w:p>
      <w:r>
        <w:t>Equipe CP: envolvida nos testes de aceitação e treinamento — participação obrigatória.</w:t>
      </w:r>
    </w:p>
    <w:p>
      <w:r>
        <w:t>Santander: ponto de contato a ser estabelecido pela Noemia/tesouraria VAB para habilitação DDA.</w:t>
      </w:r>
    </w:p>
    <w:p/>
    <w:p>
      <w:pPr>
        <w:pStyle w:val="Heading3"/>
      </w:pPr>
      <w:r>
        <w:rPr>
          <w:color w:val="404040"/>
          <w:sz w:val="24"/>
        </w:rPr>
        <w:t>10. Plano de Gerenciamento de Integração (mudanças)</w:t>
      </w:r>
    </w:p>
    <w:p/>
    <w:p>
      <w:r>
        <w:t>Todas as mudanças de baseline (escopo, prazo, custo) exigem Change Request formal.</w:t>
      </w:r>
    </w:p>
    <w:p>
      <w:r>
        <w:t>GP tem autoridade para aceitar mudanças de até 1 dia de prazo e R$0 de custo.</w:t>
      </w:r>
    </w:p>
    <w:p>
      <w:r>
        <w:t>Mudanças acima desses limites exigem aprovação do sponsor.</w:t>
      </w:r>
    </w:p>
    <w:p>
      <w:r>
        <w:t>Mudanças que afetem a condição de custo zero da autorização Holding exigem aprovação adicional</w:t>
      </w:r>
    </w:p>
    <w:p>
      <w:r>
        <w:t>de Walace Bacelar antes de serem implementadas.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