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6"/>
        </w:rPr>
        <w:t>Framework de KPIs — DEM-2026-007</w:t>
      </w:r>
    </w:p>
    <w:p>
      <w:r>
        <w:t>Projeto: Implantação DDA SAP — VAB Matriz</w:t>
      </w:r>
    </w:p>
    <w:p>
      <w:r>
        <w:t>Elaborado por: Marcela Métrica (VMO Autônomo)</w:t>
      </w:r>
    </w:p>
    <w:p>
      <w:r>
        <w:t>Data: 2026-05-20</w:t>
      </w:r>
    </w:p>
    <w:p>
      <w:r>
        <w:t>Versão: 1.0</w:t>
      </w:r>
    </w:p>
    <w:p/>
    <w:p>
      <w:r>
        <w:t>BAC (Budget at Completion): R$2.000 (reserva de contingência — custo externo meta: R$0)</w:t>
      </w:r>
    </w:p>
    <w:p>
      <w:r>
        <w:t>Método de medição de EV: Marcos binários (0% / 100%) por fase do cronograma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KPIs de Desempenho do Projeto (EVM)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KPI</w:t>
            </w:r>
          </w:p>
        </w:tc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Fórmula</w:t>
            </w:r>
          </w:p>
        </w:tc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Linha de Base</w:t>
            </w:r>
          </w:p>
        </w:tc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Limiar Amarelo</w:t>
            </w:r>
          </w:p>
        </w:tc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Limiar Vermelho</w:t>
            </w:r>
          </w:p>
        </w:tc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Responsável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SPI (Schedule Performance Index)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EV / PV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1,00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0,85 – 0,94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&lt; 0,85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GP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CPI (Cost Performance Index)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EV / AC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1,00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0,85 – 0,94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&lt; 0,85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GP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EAC (Estimate at Completion)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BAC / CPI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R$2.000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R$2.001–R$2.350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&gt; R$2.350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GP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VAC (Variance at Completion)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BAC – EAC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R$0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-R$350 a -R$1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&lt; -R$350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GP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% Conclusão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Marcos concluídos / Total marcos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0% (início)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N/A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N/A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GP</w:t>
            </w:r>
          </w:p>
        </w:tc>
      </w:tr>
    </w:tbl>
    <w:p/>
    <w:p>
      <w:pPr>
        <w:pStyle w:val="Quote"/>
      </w:pPr>
      <w:r>
        <w:t>**Nota:** Como o custo alvo é R$0 externo, o EVM monitora principalmente o prazo (SPI).</w:t>
      </w:r>
    </w:p>
    <w:p>
      <w:pPr>
        <w:pStyle w:val="Quote"/>
      </w:pPr>
      <w:r>
        <w:t>O CPI e EAC aplicam-se somente se a reserva de contingência (R$2.000) for acionada.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Configuração EVM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6E4F0"/>
          </w:tcPr>
          <w:p>
            <w:r>
              <w:rPr>
                <w:b/>
                <w:sz w:val="20"/>
              </w:rPr>
              <w:t>Parâmetro</w:t>
            </w:r>
          </w:p>
        </w:tc>
        <w:tc>
          <w:tcPr>
            <w:tcW w:type="dxa" w:w="4392"/>
            <w:shd w:val="clear" w:color="auto" w:fill="D6E4F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BAC (Budget at Completion)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R$2.000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Método de EV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Marcos binários — 100% somente quando o marco está 100% concluído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Marcos totais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6 (M-0 a M-6)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PV por marco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M-0: 0%; M-1: 17%; M-2: 30%; M-3: 55%; M-4: 70%; M-5: 85%; M-6: 100%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Frequência de cálculo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Quinzenal (em cada Status Report)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Custo horas internas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Não contabilizado no EVM (custo interno DTI — fora do BAC)</w:t>
            </w:r>
          </w:p>
        </w:tc>
      </w:tr>
    </w:tbl>
    <w:p/>
    <w:p>
      <w:r/>
      <w:r>
        <w:rPr>
          <w:b/>
        </w:rPr>
        <w:t>Tabela de valor planejado (PV) por marco: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Marco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Data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% PV acumulado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PV R$ (sobre BAC R$2.000)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M-0 — Gate Kick-off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06/06/2026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R$0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M-1 — Levantamento técnico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27/06/2026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17%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R$340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M-2 — Habilitação Santander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18/07/2026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R$600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M-3 — Config + testes homologação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08/08/2026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55%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R$1.100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M-4 — UAT aprovado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15/08/2026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70%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R$1.400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M-5 — Go-live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25/08/2026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85%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R$1.700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M-6 — Encerramento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30/09/2026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R$2.000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KPIs de Resultado (vinculados aos Critérios de Sucesso do TAP)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KPI</w:t>
            </w:r>
          </w:p>
        </w:tc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Critério de Sucesso</w:t>
            </w:r>
          </w:p>
        </w:tc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Meta</w:t>
            </w:r>
          </w:p>
        </w:tc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Limiar Mínimo</w:t>
            </w:r>
          </w:p>
        </w:tc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Quando Medir</w:t>
            </w:r>
          </w:p>
        </w:tc>
        <w:tc>
          <w:tcPr>
            <w:tcW w:type="dxa" w:w="1464"/>
            <w:shd w:val="clear" w:color="auto" w:fill="D6E4F0"/>
          </w:tcPr>
          <w:p>
            <w:r>
              <w:rPr>
                <w:b/>
                <w:sz w:val="20"/>
              </w:rPr>
              <w:t>Responsável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KR-1 Taxa de automação DDA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CS-1: 100% boletos DDA sem digitação manual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≥ 99%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30 dias pós-go-live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GP + DTI FI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KR-2 Incidentes por ausência de boleto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CS-2: Zero atrasos por ausência de boleto digital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0 ocorrências/mês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≤ 1 por mês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60 dias pós-go-live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Noemia / CP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KR-3 Satisfação equipe CP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CS-3: ≥ 8/10 na pesquisa pós-implantação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≥ 8,0/10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≥ 7,0/10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30 dias pós-go-live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GP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KR-4 Prazo de go-live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CS-4: Go-live até 30/09/2026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30/09/2026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≤ 14/10/2026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Data do go-live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GP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KR-5 Tempo de processamento arquivo DDA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RNF-002: ≤ 30 min para arquivo com até 500 boletos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≤ 30 min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≤ 60 min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Semana 1 em produção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DTI FI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KR-6 Disponibilidade DDA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RNF-001: ≥ 99,5% em horário bancário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99,5%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98%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Primeiro mês em produção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DTI FI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Semáforo de Saúde do Projeto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Dimensão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🟢 Verde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🟡 Amarelo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🔴 Vermelho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Cronograma (SPI)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≥ 0,95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0,85 – 0,94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0,85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Custo (CPI)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≥ 0,95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0,85 – 0,94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0,85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Escopo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Sem mudanças não controladas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 CR em análise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&gt; 1 CR ou CR crítico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Riscos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Todos sob controle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 risco ALTO ativo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1+ risco CRÍTICO ativo ou R-001/R-002 materializados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Governança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CBs resolvidas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 CB em prazo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CB vencida sem resolução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Resultado (pós go-live)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KR-1 = 100%; KR-2 = 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KR-1 ≥ 95%; KR-2 ≤ 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KR-1 &lt; 95%; KR-2 &gt; 2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KPIs de Gestão de Riscos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KPI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Meta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Limiar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Quando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Riscos CRÍTICOS ativos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≤ 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Contínuo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Riscos ALTOS ativos sem plano de resposta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≤ 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Quinzenal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% riscos com trigger definido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≥ 100%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Por revisão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R-001 (autorização Holding): status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Resolvido antes do kick-off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Resolvido em M-0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Gate kick-off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R-002 (ajustes ABAP): status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Confirmado como parametrização em M-1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Confirmado em M-1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Gate M-1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Pesquisa de Satisfação — Template</w:t>
      </w:r>
    </w:p>
    <w:p/>
    <w:p>
      <w:r>
        <w:t>A pesquisa será aplicada 30 dias após o go-live (KR-3):</w:t>
      </w:r>
    </w:p>
    <w:p/>
    <w:p>
      <w:r/>
      <w:r>
        <w:rPr>
          <w:b/>
        </w:rPr>
        <w:t>Bloco 1 — NPS</w:t>
      </w:r>
      <w:r/>
    </w:p>
    <w:p>
      <w:pPr>
        <w:pStyle w:val="ListBullet"/>
      </w:pPr>
      <w:r>
        <w:t>Em uma escala de 0 a 10, qual a probabilidade de você recomendar o novo processo de DDA a um colega de outra divisão?</w:t>
      </w:r>
    </w:p>
    <w:p/>
    <w:p>
      <w:r/>
      <w:r>
        <w:rPr>
          <w:b/>
        </w:rPr>
        <w:t>Bloco 2 — Percepção do resultado</w:t>
      </w:r>
      <w:r/>
    </w:p>
    <w:p>
      <w:pPr>
        <w:pStyle w:val="ListBullet"/>
      </w:pPr>
      <w:r>
        <w:t>O processo de recebimento de boletos melhorou com a implantação do DDA? (1 = Muito pior / 10 = Muito melhor)</w:t>
      </w:r>
    </w:p>
    <w:p>
      <w:pPr>
        <w:pStyle w:val="ListBullet"/>
      </w:pPr>
      <w:r>
        <w:t>Você ainda precisa digitar manualmente algum código de barras? (Sim / Não / Às vezes)</w:t>
      </w:r>
    </w:p>
    <w:p>
      <w:pPr>
        <w:pStyle w:val="ListBullet"/>
      </w:pPr>
      <w:r>
        <w:t>O processo de obtenção de boletos eliminou a dependência de terceiros? (1 = Não mudou / 10 = Totalmente eliminada)</w:t>
      </w:r>
    </w:p>
    <w:p/>
    <w:p>
      <w:r/>
      <w:r>
        <w:rPr>
          <w:b/>
        </w:rPr>
        <w:t>Bloco 3 — Qualitativo</w:t>
      </w:r>
      <w:r/>
    </w:p>
    <w:p>
      <w:pPr>
        <w:pStyle w:val="ListBullet"/>
      </w:pPr>
      <w:r>
        <w:t>Qual foi o maior benefício percebido no novo processo?</w:t>
      </w:r>
    </w:p>
    <w:p>
      <w:pPr>
        <w:pStyle w:val="ListBullet"/>
      </w:pPr>
      <w:r>
        <w:t>Há algo que ainda poderia ser melhorado?</w:t>
      </w:r>
    </w:p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