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HAMZA NTWARI</w:t>
      </w:r>
    </w:p>
    <w:p>
      <w:pPr>
        <w:pStyle w:val="Heading2"/>
      </w:pPr>
      <w:r>
        <w:t xml:space="preserve">SENIOR TECHNICAL CONSULTANT</w:t>
      </w:r>
    </w:p>
    <w:p>
      <w:pPr>
        <w:pStyle w:val="Normal"/>
      </w:pPr>
      <w:r>
        <w:t xml:space="preserve">London, United Kingdom</w:t>
      </w:r>
      <w:r>
        <w:t xml:space="preserve"> | </w:t>
      </w:r>
      <w:r>
        <w:t xml:space="preserve">07428628524</w:t>
      </w:r>
      <w:r>
        <w:t xml:space="preserve"> | </w:t>
      </w:r>
      <w:hyperlink w:history="1" r:id="rIdrgzpcibisfeafl0eq3n5d">
        <w:r>
          <w:rPr>
            <w:rStyle w:val="Hyperlink"/>
          </w:rPr>
          <w:t xml:space="preserve">hamzawork52@gmail.com</w:t>
        </w:r>
        <w:r>
          <w:t xml:space="preserve"> </w:t>
        </w:r>
      </w:hyperlink>
    </w:p>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PROFILE</w:t>
            </w:r>
          </w:p>
        </w:tc>
      </w:tr>
    </w:tbl>
    <w:p>
      <w:pPr>
        <w:pStyle w:val="AfterSectionNamePadding"/>
      </w:pPr>
    </w:p>
    <w:p>
      <w:r>
        <w:rPr>
          <w:b w:val="false"/>
          <w:bCs w:val="false"/>
          <w:i w:val="false"/>
          <w:iCs w:val="false"/>
          <w:strike w:val="false"/>
        </w:rPr>
        <w:t xml:space="preserve">Senior Technical Consultant specialising in enterprise integrations and AI supported delivery systems. Eight years improving data ingestion, reducing onboarding timelines, and leading technical evaluations that secure multi year SaaS contracts. Strong at diagnosing integration bottlenecks, designing scalable workflows, and aligning engineering, product, and sales around delivery outcomes. </w:t>
      </w:r>
    </w:p>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PROFESSIONAL EXPERIENCE</w:t>
            </w:r>
          </w:p>
        </w:tc>
      </w:tr>
    </w:tbl>
    <w:p>
      <w:pPr>
        <w:pStyle w:val="AfterSectionNamePadding"/>
      </w:pPr>
    </w:p>
    <w:p>
      <w:pPr>
        <w:pStyle w:val="Heading4"/>
        <w:tabs>
          <w:tab w:val="right" w:pos="10320"/>
        </w:tabs>
      </w:pPr>
      <w:r>
        <w:t xml:space="preserve">Senior Technical Consultant, Napier Technologies, London</w:t>
      </w:r>
      <w:r>
        <w:t xml:space="preserve"> </w:t>
        <w:tab/>
        <w:t xml:space="preserve"> </w:t>
      </w:r>
      <w:r>
        <w:t xml:space="preserve">Apr 2019 — Apr 2025</w:t>
      </w:r>
    </w:p>
    <w:p>
      <w:pPr>
        <w:pStyle w:val="ListParagraph"/>
        <w:numPr>
          <w:ilvl w:val="0"/>
          <w:numId w:val="2"/>
        </w:numPr>
        <w:spacing w:line="240" w:before="0"/>
      </w:pPr>
      <w:r>
        <w:rPr>
          <w:b w:val="false"/>
          <w:bCs w:val="false"/>
          <w:i w:val="false"/>
          <w:iCs w:val="false"/>
          <w:sz w:val="18"/>
          <w:szCs w:val="18"/>
          <w:strike w:val="false"/>
        </w:rPr>
        <w:t xml:space="preserve">Delivered more than twenty enterprise implementations across EMEA, NALA, and APAC handling ten thousand to hundreds of thousands of transactions daily. </w:t>
      </w:r>
    </w:p>
    <w:p>
      <w:pPr>
        <w:pStyle w:val="ListParagraph"/>
        <w:numPr>
          <w:ilvl w:val="0"/>
          <w:numId w:val="2"/>
        </w:numPr>
        <w:spacing w:line="240" w:before="0"/>
      </w:pPr>
      <w:r>
        <w:rPr>
          <w:b w:val="false"/>
          <w:bCs w:val="false"/>
          <w:i w:val="false"/>
          <w:iCs w:val="false"/>
          <w:sz w:val="18"/>
          <w:szCs w:val="18"/>
          <w:strike w:val="false"/>
        </w:rPr>
        <w:t xml:space="preserve">Engineered an out of the box rule pack reducing onboarding from five months to three and enabling broader consultant coverage. </w:t>
      </w:r>
    </w:p>
    <w:p>
      <w:pPr>
        <w:pStyle w:val="ListParagraph"/>
        <w:numPr>
          <w:ilvl w:val="0"/>
          <w:numId w:val="2"/>
        </w:numPr>
        <w:spacing w:line="240" w:before="0"/>
      </w:pPr>
      <w:r>
        <w:rPr>
          <w:b w:val="false"/>
          <w:bCs w:val="false"/>
          <w:i w:val="false"/>
          <w:iCs w:val="false"/>
          <w:sz w:val="18"/>
          <w:szCs w:val="18"/>
          <w:strike w:val="false"/>
        </w:rPr>
        <w:t xml:space="preserve">Reduced ingestion failures by approximately fifteen percent through stricter validation and ingestion controls. </w:t>
      </w:r>
    </w:p>
    <w:p>
      <w:pPr>
        <w:pStyle w:val="ListParagraph"/>
        <w:numPr>
          <w:ilvl w:val="0"/>
          <w:numId w:val="2"/>
        </w:numPr>
        <w:spacing w:line="240" w:before="0"/>
      </w:pPr>
      <w:r>
        <w:rPr>
          <w:b w:val="false"/>
          <w:bCs w:val="false"/>
          <w:i w:val="false"/>
          <w:iCs w:val="false"/>
          <w:sz w:val="18"/>
          <w:szCs w:val="18"/>
          <w:strike w:val="false"/>
        </w:rPr>
        <w:t xml:space="preserve">Led technical evaluation work influencing multi year SaaS deals including Credit Suisse. </w:t>
      </w:r>
    </w:p>
    <w:p>
      <w:pPr>
        <w:pStyle w:val="ListParagraph"/>
        <w:numPr>
          <w:ilvl w:val="0"/>
          <w:numId w:val="2"/>
        </w:numPr>
        <w:spacing w:line="240" w:before="0"/>
      </w:pPr>
      <w:r>
        <w:rPr>
          <w:b w:val="false"/>
          <w:bCs w:val="false"/>
          <w:i w:val="false"/>
          <w:iCs w:val="false"/>
          <w:sz w:val="18"/>
          <w:szCs w:val="18"/>
          <w:strike w:val="false"/>
        </w:rPr>
        <w:t xml:space="preserve">Delivered partner demos for Refinitiv and supported around ten sales cycles with high win rates. </w:t>
      </w:r>
    </w:p>
    <w:p>
      <w:pPr>
        <w:pStyle w:val="ListParagraph"/>
        <w:numPr>
          <w:ilvl w:val="0"/>
          <w:numId w:val="2"/>
        </w:numPr>
        <w:spacing w:line="240" w:before="0"/>
      </w:pPr>
      <w:r>
        <w:rPr>
          <w:b w:val="false"/>
          <w:bCs w:val="false"/>
          <w:i w:val="false"/>
          <w:iCs w:val="false"/>
          <w:sz w:val="18"/>
          <w:szCs w:val="18"/>
          <w:strike w:val="false"/>
        </w:rPr>
        <w:t xml:space="preserve">Built an internal LLaMA based knowledge assistant improving retrieval accuracy and response speed. </w:t>
      </w:r>
    </w:p>
    <w:p>
      <w:pPr>
        <w:pStyle w:val="Normal"/>
        <w:spacing w:after="6"/>
      </w:pPr>
    </w:p>
    <w:p>
      <w:pPr>
        <w:pStyle w:val="Heading4"/>
        <w:tabs>
          <w:tab w:val="right" w:pos="10320"/>
        </w:tabs>
      </w:pPr>
      <w:r>
        <w:t xml:space="preserve">Technical Consultant, CGI Inc., Leatherhead</w:t>
      </w:r>
      <w:r>
        <w:t xml:space="preserve"> </w:t>
        <w:tab/>
        <w:t xml:space="preserve"> </w:t>
      </w:r>
      <w:r>
        <w:t xml:space="preserve">Jun 2016 — Feb 2019</w:t>
      </w:r>
    </w:p>
    <w:p>
      <w:pPr>
        <w:pStyle w:val="ListParagraph"/>
        <w:numPr>
          <w:ilvl w:val="0"/>
          <w:numId w:val="3"/>
        </w:numPr>
        <w:spacing w:line="240" w:before="0"/>
      </w:pPr>
      <w:r>
        <w:rPr>
          <w:b w:val="false"/>
          <w:bCs w:val="false"/>
          <w:i w:val="false"/>
          <w:iCs w:val="false"/>
          <w:sz w:val="18"/>
          <w:szCs w:val="18"/>
          <w:strike w:val="false"/>
        </w:rPr>
        <w:t xml:space="preserve">Delivered multi node and multi rack HA cluster deployments in security cleared environments for Galileo. </w:t>
      </w:r>
    </w:p>
    <w:p>
      <w:pPr>
        <w:pStyle w:val="ListParagraph"/>
        <w:numPr>
          <w:ilvl w:val="0"/>
          <w:numId w:val="3"/>
        </w:numPr>
        <w:spacing w:line="240" w:before="0"/>
      </w:pPr>
      <w:r>
        <w:rPr>
          <w:b w:val="false"/>
          <w:bCs w:val="false"/>
          <w:i w:val="false"/>
          <w:iCs w:val="false"/>
          <w:sz w:val="18"/>
          <w:szCs w:val="18"/>
          <w:strike w:val="false"/>
        </w:rPr>
        <w:t xml:space="preserve">Led onsite deployment and incident response as primary technical owner. </w:t>
      </w:r>
    </w:p>
    <w:p>
      <w:pPr>
        <w:pStyle w:val="ListParagraph"/>
        <w:numPr>
          <w:ilvl w:val="0"/>
          <w:numId w:val="3"/>
        </w:numPr>
        <w:spacing w:line="240" w:before="0"/>
      </w:pPr>
      <w:r>
        <w:rPr>
          <w:b w:val="false"/>
          <w:bCs w:val="false"/>
          <w:i w:val="false"/>
          <w:iCs w:val="false"/>
          <w:sz w:val="18"/>
          <w:szCs w:val="18"/>
          <w:strike w:val="false"/>
        </w:rPr>
        <w:t xml:space="preserve">Coordinated with European engineering hubs to maintain system readiness. </w:t>
      </w:r>
    </w:p>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EDUCATION</w:t>
            </w:r>
          </w:p>
        </w:tc>
      </w:tr>
    </w:tbl>
    <w:p>
      <w:pPr>
        <w:pStyle w:val="AfterSectionNamePadding"/>
      </w:pPr>
    </w:p>
    <w:p>
      <w:pPr>
        <w:pStyle w:val="Heading4"/>
        <w:tabs>
          <w:tab w:val="right" w:pos="10320"/>
        </w:tabs>
      </w:pPr>
      <w:r>
        <w:t xml:space="preserve">Bachelor of Science in Computer Science Artificial Intelligence</w:t>
      </w:r>
      <w:r>
        <w:t xml:space="preserve"> </w:t>
        <w:tab/>
        <w:t xml:space="preserve"> </w:t>
      </w:r>
      <w:r>
        <w:t xml:space="preserve">Jul 2017</w:t>
      </w:r>
    </w:p>
    <w:p>
      <w:r>
        <w:t xml:space="preserve">University of Kent, Kent</w:t>
      </w:r>
    </w:p>
    <w:p>
      <w:r>
        <w:rPr>
          <w:b w:val="false"/>
          <w:bCs w:val="false"/>
          <w:i w:val="false"/>
          <w:iCs w:val="false"/>
          <w:sz w:val="18"/>
          <w:szCs w:val="18"/>
          <w:strike w:val="false"/>
        </w:rPr>
        <w:t xml:space="preserve">Graduated with Upper Second Class </w:t>
      </w:r>
    </w:p>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TECHNICAL SKILLS</w:t>
            </w:r>
          </w:p>
        </w:tc>
      </w:tr>
    </w:tbl>
    <w:p>
      <w:pPr>
        <w:pStyle w:val="AfterSectionNamePadding"/>
      </w:pPr>
    </w:p>
    <w:tbl>
      <w:tblPr>
        <w:tblW w:type="auto" w:w="10320"/>
        <w:tblBorders>
          <w:top w:val="none"/>
          <w:left w:val="none"/>
          <w:bottom w:val="none"/>
          <w:right w:val="none"/>
          <w:insideH w:val="none"/>
          <w:insideV w:val="none"/>
        </w:tblBorders>
        <w:tblLayout w:type="fixed"/>
      </w:tblPr>
      <w:tblGrid>
        <w:gridCol w:w="2580"/>
        <w:gridCol w:w="2580"/>
        <w:gridCol w:w="2580"/>
        <w:gridCol w:w="2580"/>
      </w:tblGrid>
      <w:tr>
        <w:tc>
          <w:p>
            <w:r>
              <w:t xml:space="preserve">API integration</w:t>
            </w:r>
          </w:p>
        </w:tc>
        <w:tc>
          <w:p>
            <w:r>
              <w:t xml:space="preserve">Data pipelines</w:t>
            </w:r>
          </w:p>
        </w:tc>
        <w:tc>
          <w:p>
            <w:r>
              <w:t xml:space="preserve">Python automation</w:t>
            </w:r>
          </w:p>
        </w:tc>
        <w:tc>
          <w:p>
            <w:r>
              <w:t xml:space="preserve">Apache NiFi</w:t>
            </w:r>
          </w:p>
        </w:tc>
      </w:tr>
      <w:tr>
        <w:tc>
          <w:p>
            <w:r>
              <w:t xml:space="preserve">SQL Postgres</w:t>
            </w:r>
          </w:p>
        </w:tc>
        <w:tc>
          <w:p>
            <w:r>
              <w:t xml:space="preserve">Vector search</w:t>
            </w:r>
          </w:p>
        </w:tc>
        <w:tc>
          <w:p>
            <w:r>
              <w:t xml:space="preserve">AI delivery tooling</w:t>
            </w:r>
          </w:p>
        </w:tc>
        <w:tc>
          <w:p>
            <w:r>
              <w:t xml:space="preserve">Architecture discovery</w:t>
            </w:r>
          </w:p>
        </w:tc>
      </w:tr>
      <w:tr>
        <w:tc>
          <w:p>
            <w:r>
              <w:t xml:space="preserve">Technical onboarding</w:t>
            </w:r>
          </w:p>
        </w:tc>
        <w:tc>
          <w:p>
            <w:r>
              <w:t xml:space="preserve">RFD demos</w:t>
            </w:r>
          </w:p>
        </w:tc>
        <w:tc>
          <w:p>
            <w:r>
              <w:t xml:space="preserve">Incident resolution</w:t>
            </w:r>
          </w:p>
        </w:tc>
        <w:tc>
          <w:p>
            <w:r>
              <w:t xml:space="preserve">Multi team coordination</w:t>
            </w:r>
          </w:p>
        </w:tc>
      </w:tr>
      <w:tr>
        <w:tc>
          <w:p>
            <w:r>
              <w:t xml:space="preserve">Cloud environments</w:t>
            </w:r>
          </w:p>
        </w:tc>
      </w:tr>
    </w:tbl>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COURSES</w:t>
            </w:r>
          </w:p>
        </w:tc>
      </w:tr>
    </w:tbl>
    <w:p>
      <w:pPr>
        <w:pStyle w:val="AfterSectionNamePadding"/>
      </w:pPr>
    </w:p>
    <w:p>
      <w:pPr>
        <w:pStyle w:val="Heading4"/>
        <w:tabs>
          <w:tab w:val="right" w:pos="10320"/>
        </w:tabs>
      </w:pPr>
      <w:r>
        <w:t xml:space="preserve">Python for Data Science AI and Development, IBM</w:t>
      </w:r>
      <w:r>
        <w:t xml:space="preserve"> </w:t>
        <w:tab/>
        <w:t xml:space="preserve"> </w:t>
      </w:r>
      <w:r>
        <w:t xml:space="preserve">Jan 2025 — May 2025</w:t>
      </w:r>
    </w:p>
    <w:p>
      <w:pPr>
        <w:pStyle w:val="Normal"/>
        <w:spacing w:after="6"/>
      </w:pPr>
    </w:p>
    <w:p>
      <w:pPr>
        <w:pStyle w:val="Heading4"/>
        <w:tabs>
          <w:tab w:val="right" w:pos="10320"/>
        </w:tabs>
      </w:pPr>
      <w:r>
        <w:t xml:space="preserve">Generative AI Introduction and Applications, IBM</w:t>
      </w:r>
      <w:r>
        <w:t xml:space="preserve"> </w:t>
        <w:tab/>
        <w:t xml:space="preserve"> </w:t>
      </w:r>
      <w:r>
        <w:t xml:space="preserve">Jan 2025 — May 2025</w:t>
      </w:r>
    </w:p>
    <w:p>
      <w:pPr>
        <w:pStyle w:val="Normal"/>
        <w:spacing w:after="6"/>
      </w:pPr>
    </w:p>
    <w:p>
      <w:pPr>
        <w:pStyle w:val="Heading4"/>
        <w:tabs>
          <w:tab w:val="right" w:pos="10320"/>
        </w:tabs>
      </w:pPr>
      <w:r>
        <w:t xml:space="preserve">Cisco Cybersecurity Pathway, Cisco</w:t>
      </w:r>
      <w:r>
        <w:t xml:space="preserve"> </w:t>
        <w:tab/>
        <w:t xml:space="preserve"> </w:t>
      </w:r>
      <w:r>
        <w:t xml:space="preserve">Feb 2024 — Jul 2025</w:t>
      </w:r>
    </w:p>
    <w:p>
      <w:pPr>
        <w:pStyle w:val="AfterSectionPadding"/>
      </w:pPr>
    </w:p>
    <w:tbl>
      <w:tblPr>
        <w:tblW w:type="auto" w:w="10320"/>
        <w:tblBorders>
          <w:top w:val="single" w:color="2163ca" w:sz="1"/>
          <w:left w:val="none"/>
          <w:bottom w:val="single" w:color="2163ca" w:sz="1"/>
          <w:right w:val="none"/>
          <w:insideH w:val="none"/>
          <w:insideV w:val="none"/>
        </w:tblBorders>
        <w:tblLayout w:type="fixed"/>
      </w:tblPr>
      <w:tblGrid>
        <w:gridCol w:w="10320"/>
      </w:tblGrid>
      <w:tr>
        <w:tc>
          <w:tcPr>
            <w:tcMar>
              <w:left w:type="dxa" w:w="0"/>
            </w:tcMar>
          </w:tcPr>
          <w:p>
            <w:pPr>
              <w:pStyle w:val="Heading3"/>
            </w:pPr>
            <w:r>
              <w:t xml:space="preserve">[MISSING "CUSTOM" TRANSLATION]</w:t>
            </w:r>
          </w:p>
        </w:tc>
      </w:tr>
    </w:tbl>
    <w:p>
      <w:pPr>
        <w:pStyle w:val="AfterSectionNamePadding"/>
      </w:pPr>
    </w:p>
    <w:p>
      <w:r>
        <w:rPr>
          <w:b/>
          <w:bCs/>
          <w:i w:val="false"/>
          <w:iCs w:val="false"/>
          <w:sz w:val="18"/>
          <w:szCs w:val="18"/>
          <w:strike w:val="false"/>
        </w:rPr>
        <w:t xml:space="preserve">PulseTrader </w:t>
      </w:r>
    </w:p>
    <w:p>
      <w:r>
        <w:rPr>
          <w:b w:val="false"/>
          <w:bCs w:val="false"/>
          <w:i w:val="false"/>
          <w:iCs w:val="false"/>
          <w:sz w:val="18"/>
          <w:szCs w:val="18"/>
          <w:strike w:val="false"/>
        </w:rPr>
        <w:t xml:space="preserve">Low latency systems work across ingestion, caching, and event driven architecture. </w:t>
      </w:r>
    </w:p>
    <w:p>
      <w:r>
        <w:rPr>
          <w:b/>
          <w:bCs/>
          <w:i w:val="false"/>
          <w:iCs w:val="false"/>
          <w:sz w:val="18"/>
          <w:szCs w:val="18"/>
          <w:strike w:val="false"/>
        </w:rPr>
        <w:t xml:space="preserve">Derivatives Pricing Tool </w:t>
      </w:r>
    </w:p>
    <w:p>
      <w:r>
        <w:rPr>
          <w:b w:val="false"/>
          <w:bCs w:val="false"/>
          <w:i w:val="false"/>
          <w:iCs w:val="false"/>
          <w:sz w:val="18"/>
          <w:szCs w:val="18"/>
          <w:strike w:val="false"/>
        </w:rPr>
        <w:t xml:space="preserve">Numerical engine optimisation and caching strategies. </w:t>
      </w:r>
    </w:p>
    <w:p>
      <w:r>
        <w:rPr>
          <w:b/>
          <w:bCs/>
          <w:i w:val="false"/>
          <w:iCs w:val="false"/>
          <w:sz w:val="18"/>
          <w:szCs w:val="18"/>
          <w:strike w:val="false"/>
        </w:rPr>
        <w:t xml:space="preserve">Projext AI </w:t>
      </w:r>
    </w:p>
    <w:p>
      <w:r>
        <w:rPr>
          <w:b w:val="false"/>
          <w:bCs w:val="false"/>
          <w:i w:val="false"/>
          <w:iCs w:val="false"/>
          <w:sz w:val="18"/>
          <w:szCs w:val="18"/>
          <w:strike w:val="false"/>
        </w:rPr>
        <w:t xml:space="preserve">Vector search, RAG, and AI workflow automation. </w:t>
      </w:r>
    </w:p>
    <w:p>
      <w:pPr>
        <w:pStyle w:val="AfterSectionPadding"/>
      </w:pPr>
    </w:p>
    <w:sectPr>
      <w:pgSz w:w="11952" w:h="16848" w:orient="portrait"/>
      <w:pgMar w:top="800" w:right="800" w:bottom="800" w:left="8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215"/>
      </w:pPr>
    </w:lvl>
  </w:abstractNum>
  <w:abstractNum w:abstractNumId="3" w15:restartNumberingAfterBreak="0">
    <w:multiLevelType w:val="hybridMultilevel"/>
    <w:lvl w:ilvl="0" w15:tentative="1">
      <w:start w:val="1"/>
      <w:numFmt w:val="bullet"/>
      <w:lvlText w:val="•"/>
      <w:lvlJc w:val="left"/>
      <w:pPr>
        <w:ind w:left="431" w:hanging="144"/>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88"/>
    </w:pPr>
    <w:rPr>
      <w:color w:val="1E2532"/>
      <w:sz w:val="20"/>
      <w:szCs w:val="20"/>
      <w:rFonts w:ascii="Open Sans" w:cs="Open Sans" w:eastAsia="Open Sans" w:hAnsi="Open Sans"/>
    </w:rPr>
  </w:style>
  <w:style w:type="paragraph" w:styleId="Heading1">
    <w:name w:val="Heading 1"/>
    <w:basedOn w:val="Normal"/>
    <w:pPr>
      <w:spacing w:after="120"/>
    </w:pPr>
    <w:rPr>
      <w:b/>
      <w:bCs/>
      <w:color w:val="2163ca"/>
      <w:sz w:val="48"/>
      <w:szCs w:val="48"/>
    </w:rPr>
  </w:style>
  <w:style w:type="paragraph" w:styleId="Heading2">
    <w:name w:val="Heading 2"/>
    <w:basedOn w:val="Normal"/>
    <w:pPr>
      <w:spacing w:after="40"/>
    </w:pPr>
    <w:rPr>
      <w:b/>
      <w:bCs/>
      <w:sz w:val="32"/>
      <w:szCs w:val="32"/>
    </w:rPr>
  </w:style>
  <w:style w:type="paragraph" w:styleId="Heading3">
    <w:name w:val="Heading 3"/>
    <w:basedOn w:val="Normal"/>
    <w:pPr>
      <w:spacing w:before="40"/>
    </w:pPr>
    <w:rPr>
      <w:b/>
      <w:bCs/>
      <w:color w:val="2163ca"/>
      <w:sz w:val="24"/>
      <w:szCs w:val="24"/>
    </w:rPr>
  </w:style>
  <w:style w:type="paragraph" w:styleId="Heading4">
    <w:name w:val="Heading 4"/>
    <w:basedOn w:val="Normal"/>
    <w:pPr>
      <w:spacing w:line="360" w:after="2"/>
    </w:pPr>
    <w:rPr>
      <w:b/>
      <w:bCs/>
      <w:sz w:val="20"/>
      <w:szCs w:val="20"/>
    </w:rPr>
  </w:style>
  <w:style w:type="paragraph" w:styleId="CardText">
    <w:name w:val="Card Text"/>
    <w:basedOn w:val="Normal"/>
    <w:rPr>
      <w:sz w:val="18"/>
      <w:szCs w:val="18"/>
    </w:rPr>
  </w:style>
  <w:style w:type="paragraph" w:styleId="AfterSectionNamePadding">
    <w:name w:val="After Section Name Padding"/>
    <w:basedOn w:val="Normal"/>
    <w:rPr>
      <w:sz w:val="12"/>
      <w:szCs w:val="12"/>
    </w:rPr>
  </w:style>
  <w:style w:type="paragraph" w:styleId="AfterSectionPadding">
    <w:name w:val="After Section Padding"/>
    <w:basedOn w:val="Normal"/>
    <w:rPr>
      <w:sz w:val="28"/>
      <w:szCs w:val="28"/>
    </w:rPr>
  </w:style>
  <w:style w:type="paragraph" w:styleId="AfterCardPadding">
    <w:name w:val="After Card Padding"/>
    <w:basedOn w:val="Normal"/>
    <w:rPr>
      <w:sz w:val="12"/>
      <w:szCs w:val="12"/>
    </w:rPr>
  </w:style>
  <w:style w:type="character" w:styleId="Hyperlink">
    <w:name w:val="Hyperlink"/>
    <w:basedOn w:val="Normal"/>
    <w:uiPriority w:val="99"/>
    <w:unhideWhenUsed/>
    <w:rPr>
      <w:u w:val="non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gzpcibisfeafl0eq3n5d" Type="http://schemas.openxmlformats.org/officeDocument/2006/relationships/hyperlink" Target="mailto:hamzawork52@gmail.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2025-11-17T00:46:06.215Z</dcterms:created>
  <dcterms:modified xsi:type="dcterms:W3CDTF">2025-11-17T00:46:06.215Z</dcterms:modified>
</cp:coreProperties>
</file>

<file path=docProps/custom.xml><?xml version="1.0" encoding="utf-8"?>
<Properties xmlns="http://schemas.openxmlformats.org/officeDocument/2006/custom-properties" xmlns:vt="http://schemas.openxmlformats.org/officeDocument/2006/docPropsVTypes"/>
</file>