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9C1F3" w14:textId="77777777" w:rsidR="00BC6216" w:rsidRDefault="00BC6216" w:rsidP="00BC6216">
      <w:pPr>
        <w:jc w:val="center"/>
        <w:rPr>
          <w:b/>
          <w:bCs/>
        </w:rPr>
      </w:pPr>
      <w:r>
        <w:rPr>
          <w:b/>
          <w:bCs/>
        </w:rPr>
        <w:t>Results</w:t>
      </w:r>
    </w:p>
    <w:p w14:paraId="51A25A5F" w14:textId="77777777" w:rsidR="00BC6216" w:rsidRDefault="00BC6216" w:rsidP="00BC6216">
      <w:pPr>
        <w:rPr>
          <w:b/>
          <w:bCs/>
        </w:rPr>
      </w:pPr>
    </w:p>
    <w:p w14:paraId="5C71D935" w14:textId="77777777" w:rsidR="00BC6216" w:rsidRDefault="00BC6216" w:rsidP="00BC6216">
      <w:pPr>
        <w:rPr>
          <w:b/>
          <w:bCs/>
        </w:rPr>
      </w:pPr>
    </w:p>
    <w:p w14:paraId="5C339A75" w14:textId="77777777" w:rsidR="00BC6216" w:rsidRDefault="00BC6216" w:rsidP="00BC6216">
      <w:pPr>
        <w:jc w:val="both"/>
        <w:rPr>
          <w:sz w:val="20"/>
          <w:szCs w:val="20"/>
        </w:rPr>
      </w:pPr>
    </w:p>
    <w:p w14:paraId="5ACBA6CE" w14:textId="77777777" w:rsidR="00BC6216" w:rsidRDefault="00BC6216" w:rsidP="00BC6216">
      <w:pPr>
        <w:jc w:val="both"/>
        <w:rPr>
          <w:sz w:val="20"/>
          <w:szCs w:val="20"/>
        </w:rPr>
      </w:pPr>
    </w:p>
    <w:p w14:paraId="51CB04F3" w14:textId="77777777" w:rsidR="00BC6216" w:rsidRPr="00573A6A" w:rsidRDefault="00BC6216" w:rsidP="00BC6216">
      <w:pPr>
        <w:jc w:val="both"/>
        <w:rPr>
          <w:sz w:val="20"/>
          <w:szCs w:val="20"/>
        </w:rPr>
      </w:pPr>
    </w:p>
    <w:p w14:paraId="5A234B35" w14:textId="7EE35DA9" w:rsidR="0027051F" w:rsidRPr="0027051F" w:rsidRDefault="00BC6216" w:rsidP="00D13A39">
      <w:pPr>
        <w:pStyle w:val="CommentText"/>
        <w:ind w:firstLine="720"/>
        <w:rPr>
          <w:sz w:val="24"/>
          <w:szCs w:val="24"/>
        </w:rPr>
      </w:pPr>
      <w:r w:rsidRPr="0027051F">
        <w:rPr>
          <w:sz w:val="24"/>
          <w:szCs w:val="24"/>
        </w:rPr>
        <w:t xml:space="preserve">Results of the GLMM predicting drinking consequence count from ASQ-T, within-person number of drinks, between-person number of drinks, BMI and the interactions between ASQ-T and both within- and between-person number of drinks are displayed in Table 1. This model shows that the consequence </w:t>
      </w:r>
      <w:proofErr w:type="gramStart"/>
      <w:r w:rsidRPr="0027051F">
        <w:rPr>
          <w:sz w:val="24"/>
          <w:szCs w:val="24"/>
        </w:rPr>
        <w:t>count</w:t>
      </w:r>
      <w:proofErr w:type="gramEnd"/>
      <w:r w:rsidRPr="0027051F">
        <w:rPr>
          <w:sz w:val="24"/>
          <w:szCs w:val="24"/>
        </w:rPr>
        <w:t xml:space="preserve"> increased as </w:t>
      </w:r>
      <w:r w:rsidR="0027051F" w:rsidRPr="0027051F">
        <w:rPr>
          <w:sz w:val="24"/>
          <w:szCs w:val="24"/>
        </w:rPr>
        <w:t>the number of drinks consumed the night before increased relative to any given person's average level of drinking across the EMA period</w:t>
      </w:r>
      <w:r w:rsidR="0027051F">
        <w:rPr>
          <w:sz w:val="24"/>
          <w:szCs w:val="24"/>
        </w:rPr>
        <w:t>.</w:t>
      </w:r>
    </w:p>
    <w:p w14:paraId="7489CF7E" w14:textId="614AB7B7" w:rsidR="00BC6216" w:rsidRPr="0027051F" w:rsidRDefault="0027051F" w:rsidP="0027051F">
      <w:pPr>
        <w:pStyle w:val="CommentText"/>
        <w:rPr>
          <w:sz w:val="24"/>
          <w:szCs w:val="24"/>
        </w:rPr>
      </w:pPr>
      <w:r>
        <w:rPr>
          <w:sz w:val="24"/>
          <w:szCs w:val="24"/>
        </w:rPr>
        <w:t>Consequence count</w:t>
      </w:r>
      <w:r w:rsidRPr="0027051F">
        <w:rPr>
          <w:sz w:val="24"/>
          <w:szCs w:val="24"/>
        </w:rPr>
        <w:t xml:space="preserve"> was greater for individuals who tended to drink more heavily across the EMA period</w:t>
      </w:r>
      <w:r>
        <w:rPr>
          <w:sz w:val="24"/>
          <w:szCs w:val="24"/>
        </w:rPr>
        <w:t xml:space="preserve"> as well</w:t>
      </w:r>
      <w:r w:rsidR="00BC6216" w:rsidRPr="0027051F">
        <w:rPr>
          <w:sz w:val="24"/>
          <w:szCs w:val="24"/>
        </w:rPr>
        <w:t>.</w:t>
      </w:r>
      <w:r w:rsidR="00BC6216">
        <w:t xml:space="preserve"> </w:t>
      </w:r>
      <w:r w:rsidR="00BC6216" w:rsidRPr="0027051F">
        <w:rPr>
          <w:sz w:val="24"/>
          <w:szCs w:val="24"/>
        </w:rPr>
        <w:t>Of greater interest, the model shows the interaction between ASQ-T and between-person number of drinks is significantly associated with consequence count. Figure 1 displays this interaction.</w:t>
      </w:r>
    </w:p>
    <w:p w14:paraId="65EA0038" w14:textId="77777777" w:rsidR="00BC6216" w:rsidRDefault="00BC6216" w:rsidP="00BC6216">
      <w:pPr>
        <w:rPr>
          <w:b/>
          <w:bCs/>
        </w:rPr>
      </w:pPr>
    </w:p>
    <w:p w14:paraId="5D175077" w14:textId="61F78B40" w:rsidR="00BC6216" w:rsidRDefault="00BC6216" w:rsidP="00BC6216">
      <w:pPr>
        <w:rPr>
          <w:b/>
          <w:bCs/>
        </w:rPr>
      </w:pPr>
      <w:r>
        <w:rPr>
          <w:b/>
          <w:bCs/>
        </w:rPr>
        <w:t>Table 1</w:t>
      </w:r>
    </w:p>
    <w:p w14:paraId="6276C330" w14:textId="77777777" w:rsidR="00BC6216" w:rsidRPr="00B24EAB" w:rsidRDefault="00BC6216" w:rsidP="00BC6216">
      <w:pPr>
        <w:rPr>
          <w:i/>
          <w:iCs/>
        </w:rPr>
      </w:pPr>
      <w:r>
        <w:rPr>
          <w:i/>
          <w:iCs/>
        </w:rPr>
        <w:t xml:space="preserve">Fixed and Random Effects 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Multilevel Regression Analyses Predicting Drinking Consequence Count</w:t>
      </w:r>
      <w:r>
        <w:t xml:space="preserve"> </w:t>
      </w:r>
      <w:r>
        <w:rPr>
          <w:i/>
          <w:iCs/>
        </w:rPr>
        <w:t>Based on Average ASQ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1"/>
        <w:gridCol w:w="1301"/>
        <w:gridCol w:w="1133"/>
        <w:gridCol w:w="936"/>
        <w:gridCol w:w="1129"/>
      </w:tblGrid>
      <w:tr w:rsidR="00BC6216" w14:paraId="3A8EE2C5" w14:textId="77777777" w:rsidTr="004840B2">
        <w:tc>
          <w:tcPr>
            <w:tcW w:w="4851" w:type="dxa"/>
          </w:tcPr>
          <w:p w14:paraId="012B001A" w14:textId="77777777" w:rsidR="00BC6216" w:rsidRDefault="00BC6216" w:rsidP="004840B2">
            <w:r>
              <w:t>Predictors in GLMM</w:t>
            </w:r>
          </w:p>
        </w:tc>
        <w:tc>
          <w:tcPr>
            <w:tcW w:w="1301" w:type="dxa"/>
          </w:tcPr>
          <w:p w14:paraId="69AF9BFE" w14:textId="77777777" w:rsidR="00BC6216" w:rsidRDefault="00BC6216" w:rsidP="004840B2">
            <w:r>
              <w:t xml:space="preserve">Estimate </w:t>
            </w:r>
          </w:p>
        </w:tc>
        <w:tc>
          <w:tcPr>
            <w:tcW w:w="1133" w:type="dxa"/>
          </w:tcPr>
          <w:p w14:paraId="1100421C" w14:textId="77777777" w:rsidR="00BC6216" w:rsidRDefault="00BC6216" w:rsidP="004840B2">
            <w:r>
              <w:t>Std. Error</w:t>
            </w:r>
          </w:p>
        </w:tc>
        <w:tc>
          <w:tcPr>
            <w:tcW w:w="936" w:type="dxa"/>
          </w:tcPr>
          <w:p w14:paraId="51F4DB27" w14:textId="77777777" w:rsidR="00BC6216" w:rsidRDefault="00BC6216" w:rsidP="004840B2">
            <w:r>
              <w:t>z value</w:t>
            </w:r>
          </w:p>
        </w:tc>
        <w:tc>
          <w:tcPr>
            <w:tcW w:w="1129" w:type="dxa"/>
          </w:tcPr>
          <w:p w14:paraId="39883CBD" w14:textId="77777777" w:rsidR="00BC6216" w:rsidRDefault="00BC6216" w:rsidP="004840B2">
            <w:r>
              <w:t>p</w:t>
            </w:r>
          </w:p>
        </w:tc>
      </w:tr>
      <w:tr w:rsidR="00BC6216" w14:paraId="3AAF9FF4" w14:textId="77777777" w:rsidTr="004840B2">
        <w:tc>
          <w:tcPr>
            <w:tcW w:w="4851" w:type="dxa"/>
          </w:tcPr>
          <w:p w14:paraId="169E7DAE" w14:textId="77777777" w:rsidR="00BC6216" w:rsidRDefault="00BC6216" w:rsidP="004840B2">
            <w:r>
              <w:t xml:space="preserve">Intercept                 </w:t>
            </w:r>
          </w:p>
        </w:tc>
        <w:tc>
          <w:tcPr>
            <w:tcW w:w="1301" w:type="dxa"/>
          </w:tcPr>
          <w:p w14:paraId="59483515" w14:textId="77777777" w:rsidR="00BC6216" w:rsidRDefault="00BC6216" w:rsidP="004840B2">
            <w:r w:rsidRPr="00F27298">
              <w:t xml:space="preserve">-1.02996    </w:t>
            </w:r>
          </w:p>
        </w:tc>
        <w:tc>
          <w:tcPr>
            <w:tcW w:w="1133" w:type="dxa"/>
          </w:tcPr>
          <w:p w14:paraId="42293B4C" w14:textId="77777777" w:rsidR="00BC6216" w:rsidRDefault="00BC6216" w:rsidP="004840B2">
            <w:r w:rsidRPr="00F27298">
              <w:t xml:space="preserve">  0.57551  </w:t>
            </w:r>
          </w:p>
        </w:tc>
        <w:tc>
          <w:tcPr>
            <w:tcW w:w="936" w:type="dxa"/>
          </w:tcPr>
          <w:p w14:paraId="42D4B630" w14:textId="77777777" w:rsidR="00BC6216" w:rsidRDefault="00BC6216" w:rsidP="004840B2">
            <w:r w:rsidRPr="00F27298">
              <w:t xml:space="preserve">-1.790   </w:t>
            </w:r>
          </w:p>
        </w:tc>
        <w:tc>
          <w:tcPr>
            <w:tcW w:w="1129" w:type="dxa"/>
          </w:tcPr>
          <w:p w14:paraId="755E38A2" w14:textId="77777777" w:rsidR="00BC6216" w:rsidRDefault="00BC6216" w:rsidP="004840B2">
            <w:r w:rsidRPr="00F27298">
              <w:t xml:space="preserve">0.0735  </w:t>
            </w:r>
          </w:p>
        </w:tc>
      </w:tr>
      <w:tr w:rsidR="00BC6216" w14:paraId="7672D5C6" w14:textId="77777777" w:rsidTr="004840B2">
        <w:tc>
          <w:tcPr>
            <w:tcW w:w="4851" w:type="dxa"/>
          </w:tcPr>
          <w:p w14:paraId="7E982C47" w14:textId="52052B37" w:rsidR="00BC6216" w:rsidRDefault="00BC6216" w:rsidP="004840B2">
            <w:r>
              <w:t xml:space="preserve">ASQ-T score                 </w:t>
            </w:r>
          </w:p>
        </w:tc>
        <w:tc>
          <w:tcPr>
            <w:tcW w:w="1301" w:type="dxa"/>
          </w:tcPr>
          <w:p w14:paraId="2EE79B6D" w14:textId="77777777" w:rsidR="00BC6216" w:rsidRDefault="00BC6216" w:rsidP="004840B2">
            <w:r w:rsidRPr="009F1696">
              <w:t xml:space="preserve">0.02766    </w:t>
            </w:r>
          </w:p>
        </w:tc>
        <w:tc>
          <w:tcPr>
            <w:tcW w:w="1133" w:type="dxa"/>
          </w:tcPr>
          <w:p w14:paraId="0642735A" w14:textId="77777777" w:rsidR="00BC6216" w:rsidRDefault="00BC6216" w:rsidP="004840B2">
            <w:r w:rsidRPr="009F1696">
              <w:t xml:space="preserve">0.23522   </w:t>
            </w:r>
          </w:p>
        </w:tc>
        <w:tc>
          <w:tcPr>
            <w:tcW w:w="936" w:type="dxa"/>
          </w:tcPr>
          <w:p w14:paraId="3E4FF380" w14:textId="77777777" w:rsidR="00BC6216" w:rsidRDefault="00BC6216" w:rsidP="004840B2">
            <w:r w:rsidRPr="009F1696">
              <w:t xml:space="preserve">0.118   </w:t>
            </w:r>
          </w:p>
        </w:tc>
        <w:tc>
          <w:tcPr>
            <w:tcW w:w="1129" w:type="dxa"/>
          </w:tcPr>
          <w:p w14:paraId="1C3D4AFF" w14:textId="77777777" w:rsidR="00BC6216" w:rsidRDefault="00BC6216" w:rsidP="004840B2">
            <w:r w:rsidRPr="009F1696">
              <w:t xml:space="preserve">0.9064    </w:t>
            </w:r>
          </w:p>
        </w:tc>
      </w:tr>
      <w:tr w:rsidR="00BC6216" w14:paraId="3979AAAB" w14:textId="77777777" w:rsidTr="004840B2">
        <w:tc>
          <w:tcPr>
            <w:tcW w:w="4851" w:type="dxa"/>
          </w:tcPr>
          <w:p w14:paraId="2E801586" w14:textId="77777777" w:rsidR="00BC6216" w:rsidRDefault="00BC6216" w:rsidP="004840B2">
            <w:r>
              <w:t xml:space="preserve">Within-person number of drinks              </w:t>
            </w:r>
          </w:p>
        </w:tc>
        <w:tc>
          <w:tcPr>
            <w:tcW w:w="1301" w:type="dxa"/>
          </w:tcPr>
          <w:p w14:paraId="02C6949E" w14:textId="77777777" w:rsidR="00BC6216" w:rsidRDefault="00BC6216" w:rsidP="004840B2">
            <w:r w:rsidRPr="0075184A">
              <w:t xml:space="preserve">0.18530    </w:t>
            </w:r>
          </w:p>
        </w:tc>
        <w:tc>
          <w:tcPr>
            <w:tcW w:w="1133" w:type="dxa"/>
          </w:tcPr>
          <w:p w14:paraId="17402A32" w14:textId="77777777" w:rsidR="00BC6216" w:rsidRDefault="00BC6216" w:rsidP="004840B2">
            <w:r w:rsidRPr="0075184A">
              <w:t xml:space="preserve">0.01848  </w:t>
            </w:r>
          </w:p>
        </w:tc>
        <w:tc>
          <w:tcPr>
            <w:tcW w:w="936" w:type="dxa"/>
          </w:tcPr>
          <w:p w14:paraId="139F8DDF" w14:textId="77777777" w:rsidR="00BC6216" w:rsidRDefault="00BC6216" w:rsidP="004840B2">
            <w:r w:rsidRPr="0075184A">
              <w:t xml:space="preserve">10.027  </w:t>
            </w:r>
          </w:p>
        </w:tc>
        <w:tc>
          <w:tcPr>
            <w:tcW w:w="1129" w:type="dxa"/>
          </w:tcPr>
          <w:p w14:paraId="6B1255FD" w14:textId="77777777" w:rsidR="00BC6216" w:rsidRDefault="00BC6216" w:rsidP="004840B2">
            <w:r w:rsidRPr="0075184A">
              <w:t xml:space="preserve">&lt; 2e-16 </w:t>
            </w:r>
          </w:p>
        </w:tc>
      </w:tr>
      <w:tr w:rsidR="00BC6216" w14:paraId="30CA5AE7" w14:textId="77777777" w:rsidTr="004840B2">
        <w:tc>
          <w:tcPr>
            <w:tcW w:w="4851" w:type="dxa"/>
          </w:tcPr>
          <w:p w14:paraId="0B95415C" w14:textId="77777777" w:rsidR="00BC6216" w:rsidRDefault="00BC6216" w:rsidP="004840B2">
            <w:r>
              <w:t xml:space="preserve">Between-persons number of drinks             </w:t>
            </w:r>
          </w:p>
        </w:tc>
        <w:tc>
          <w:tcPr>
            <w:tcW w:w="1301" w:type="dxa"/>
          </w:tcPr>
          <w:p w14:paraId="77F914B9" w14:textId="77777777" w:rsidR="00BC6216" w:rsidRDefault="00BC6216" w:rsidP="004840B2">
            <w:r w:rsidRPr="003C1451">
              <w:t xml:space="preserve">0.22487    </w:t>
            </w:r>
          </w:p>
        </w:tc>
        <w:tc>
          <w:tcPr>
            <w:tcW w:w="1133" w:type="dxa"/>
          </w:tcPr>
          <w:p w14:paraId="299D0727" w14:textId="77777777" w:rsidR="00BC6216" w:rsidRDefault="00BC6216" w:rsidP="004840B2">
            <w:r w:rsidRPr="003C1451">
              <w:t xml:space="preserve">0.03401   </w:t>
            </w:r>
          </w:p>
        </w:tc>
        <w:tc>
          <w:tcPr>
            <w:tcW w:w="936" w:type="dxa"/>
          </w:tcPr>
          <w:p w14:paraId="08282615" w14:textId="77777777" w:rsidR="00BC6216" w:rsidRDefault="00BC6216" w:rsidP="004840B2">
            <w:r w:rsidRPr="003C1451">
              <w:t xml:space="preserve">6.611 </w:t>
            </w:r>
          </w:p>
        </w:tc>
        <w:tc>
          <w:tcPr>
            <w:tcW w:w="1129" w:type="dxa"/>
          </w:tcPr>
          <w:p w14:paraId="0749AEFA" w14:textId="77777777" w:rsidR="00BC6216" w:rsidRDefault="00BC6216" w:rsidP="004840B2">
            <w:r w:rsidRPr="003C1451">
              <w:t xml:space="preserve">3.81e-11 </w:t>
            </w:r>
          </w:p>
        </w:tc>
      </w:tr>
      <w:tr w:rsidR="00BC6216" w14:paraId="577A248C" w14:textId="77777777" w:rsidTr="004840B2">
        <w:tc>
          <w:tcPr>
            <w:tcW w:w="4851" w:type="dxa"/>
          </w:tcPr>
          <w:p w14:paraId="5E0E1E97" w14:textId="77777777" w:rsidR="00BC6216" w:rsidRDefault="00BC6216" w:rsidP="004840B2">
            <w:r>
              <w:t xml:space="preserve">BMI   </w:t>
            </w:r>
          </w:p>
        </w:tc>
        <w:tc>
          <w:tcPr>
            <w:tcW w:w="1301" w:type="dxa"/>
          </w:tcPr>
          <w:p w14:paraId="5EB87C6B" w14:textId="77777777" w:rsidR="00BC6216" w:rsidRDefault="00BC6216" w:rsidP="004840B2">
            <w:r w:rsidRPr="00295E83">
              <w:t xml:space="preserve">-0.04145    </w:t>
            </w:r>
          </w:p>
        </w:tc>
        <w:tc>
          <w:tcPr>
            <w:tcW w:w="1133" w:type="dxa"/>
          </w:tcPr>
          <w:p w14:paraId="6689EE7C" w14:textId="77777777" w:rsidR="00BC6216" w:rsidRDefault="00BC6216" w:rsidP="004840B2">
            <w:r w:rsidRPr="00295E83">
              <w:t xml:space="preserve">0.02247 </w:t>
            </w:r>
          </w:p>
        </w:tc>
        <w:tc>
          <w:tcPr>
            <w:tcW w:w="936" w:type="dxa"/>
          </w:tcPr>
          <w:p w14:paraId="548EEE2D" w14:textId="77777777" w:rsidR="00BC6216" w:rsidRDefault="00BC6216" w:rsidP="004840B2">
            <w:r w:rsidRPr="00295E83">
              <w:t xml:space="preserve">-1.845   </w:t>
            </w:r>
          </w:p>
        </w:tc>
        <w:tc>
          <w:tcPr>
            <w:tcW w:w="1129" w:type="dxa"/>
          </w:tcPr>
          <w:p w14:paraId="0A541A1B" w14:textId="77777777" w:rsidR="00BC6216" w:rsidRDefault="00BC6216" w:rsidP="004840B2">
            <w:r w:rsidRPr="00295E83">
              <w:t xml:space="preserve">0.0651  </w:t>
            </w:r>
          </w:p>
        </w:tc>
      </w:tr>
      <w:tr w:rsidR="00BC6216" w14:paraId="09F28E1F" w14:textId="77777777" w:rsidTr="004840B2">
        <w:tc>
          <w:tcPr>
            <w:tcW w:w="4851" w:type="dxa"/>
          </w:tcPr>
          <w:p w14:paraId="03D8E52E" w14:textId="64D78D29" w:rsidR="00BC6216" w:rsidRDefault="00BC6216" w:rsidP="004840B2">
            <w:r>
              <w:t xml:space="preserve">ASQ-T </w:t>
            </w:r>
            <w:r w:rsidRPr="00B24EAB">
              <w:rPr>
                <w:rFonts w:ascii="Arial" w:hAnsi="Arial" w:cs="Arial"/>
                <w:sz w:val="18"/>
                <w:szCs w:val="18"/>
              </w:rPr>
              <w:t>X</w:t>
            </w:r>
            <w:r w:rsidRPr="00B24EAB">
              <w:rPr>
                <w:sz w:val="18"/>
                <w:szCs w:val="18"/>
              </w:rPr>
              <w:t xml:space="preserve"> </w:t>
            </w:r>
            <w:r>
              <w:t>Within-person number of drinks</w:t>
            </w:r>
          </w:p>
        </w:tc>
        <w:tc>
          <w:tcPr>
            <w:tcW w:w="1301" w:type="dxa"/>
          </w:tcPr>
          <w:p w14:paraId="32DCD2C7" w14:textId="77777777" w:rsidR="00BC6216" w:rsidRDefault="00BC6216" w:rsidP="004840B2">
            <w:r w:rsidRPr="00C259C9">
              <w:t xml:space="preserve">-0.03405    </w:t>
            </w:r>
          </w:p>
        </w:tc>
        <w:tc>
          <w:tcPr>
            <w:tcW w:w="1133" w:type="dxa"/>
          </w:tcPr>
          <w:p w14:paraId="5C8EF78E" w14:textId="77777777" w:rsidR="00BC6216" w:rsidRDefault="00BC6216" w:rsidP="004840B2">
            <w:r w:rsidRPr="00C259C9">
              <w:t xml:space="preserve">0.02233  </w:t>
            </w:r>
          </w:p>
        </w:tc>
        <w:tc>
          <w:tcPr>
            <w:tcW w:w="936" w:type="dxa"/>
          </w:tcPr>
          <w:p w14:paraId="73BBE590" w14:textId="77777777" w:rsidR="00BC6216" w:rsidRDefault="00BC6216" w:rsidP="004840B2">
            <w:r w:rsidRPr="00C259C9">
              <w:t xml:space="preserve">-1.525   </w:t>
            </w:r>
          </w:p>
        </w:tc>
        <w:tc>
          <w:tcPr>
            <w:tcW w:w="1129" w:type="dxa"/>
          </w:tcPr>
          <w:p w14:paraId="0A62C37F" w14:textId="77777777" w:rsidR="00BC6216" w:rsidRDefault="00BC6216" w:rsidP="004840B2">
            <w:r w:rsidRPr="00C259C9">
              <w:t xml:space="preserve">0.1273    </w:t>
            </w:r>
          </w:p>
        </w:tc>
      </w:tr>
      <w:tr w:rsidR="00BC6216" w14:paraId="2A59C02F" w14:textId="77777777" w:rsidTr="004840B2">
        <w:tc>
          <w:tcPr>
            <w:tcW w:w="4851" w:type="dxa"/>
          </w:tcPr>
          <w:p w14:paraId="3942EA78" w14:textId="66A757D3" w:rsidR="00BC6216" w:rsidRDefault="00BC6216" w:rsidP="004840B2">
            <w:r>
              <w:t xml:space="preserve">ASQ-T </w:t>
            </w:r>
            <w:r w:rsidRPr="00B24EAB">
              <w:rPr>
                <w:rFonts w:ascii="Arial" w:hAnsi="Arial" w:cs="Arial"/>
                <w:sz w:val="18"/>
                <w:szCs w:val="18"/>
              </w:rPr>
              <w:t>X</w:t>
            </w:r>
            <w:r w:rsidRPr="00B24EAB">
              <w:rPr>
                <w:sz w:val="18"/>
                <w:szCs w:val="18"/>
              </w:rPr>
              <w:t xml:space="preserve"> </w:t>
            </w:r>
            <w:r>
              <w:t>Between-person number of drinks</w:t>
            </w:r>
          </w:p>
        </w:tc>
        <w:tc>
          <w:tcPr>
            <w:tcW w:w="1301" w:type="dxa"/>
          </w:tcPr>
          <w:p w14:paraId="5729C1B4" w14:textId="77777777" w:rsidR="00BC6216" w:rsidRDefault="00BC6216" w:rsidP="004840B2">
            <w:r w:rsidRPr="00F026E7">
              <w:t xml:space="preserve">-0.04607    </w:t>
            </w:r>
          </w:p>
        </w:tc>
        <w:tc>
          <w:tcPr>
            <w:tcW w:w="1133" w:type="dxa"/>
          </w:tcPr>
          <w:p w14:paraId="77F8F47F" w14:textId="77777777" w:rsidR="00BC6216" w:rsidRDefault="00BC6216" w:rsidP="004840B2">
            <w:r w:rsidRPr="00F026E7">
              <w:t xml:space="preserve">0.02345  </w:t>
            </w:r>
          </w:p>
        </w:tc>
        <w:tc>
          <w:tcPr>
            <w:tcW w:w="936" w:type="dxa"/>
          </w:tcPr>
          <w:p w14:paraId="24C8B1BC" w14:textId="77777777" w:rsidR="00BC6216" w:rsidRDefault="00BC6216" w:rsidP="004840B2">
            <w:r w:rsidRPr="00F026E7">
              <w:t xml:space="preserve">-1.964   </w:t>
            </w:r>
          </w:p>
        </w:tc>
        <w:tc>
          <w:tcPr>
            <w:tcW w:w="1129" w:type="dxa"/>
          </w:tcPr>
          <w:p w14:paraId="42574E0A" w14:textId="68299B6E" w:rsidR="00BC6216" w:rsidRDefault="00BC6216" w:rsidP="004840B2">
            <w:r w:rsidRPr="00F026E7">
              <w:t xml:space="preserve">0.0495   </w:t>
            </w:r>
          </w:p>
        </w:tc>
      </w:tr>
    </w:tbl>
    <w:p w14:paraId="502E89CA" w14:textId="3C2252A7" w:rsidR="00BC6216" w:rsidRPr="00B24EAB" w:rsidRDefault="00BC6216" w:rsidP="00BC6216">
      <w:pPr>
        <w:jc w:val="both"/>
        <w:rPr>
          <w:sz w:val="20"/>
          <w:szCs w:val="20"/>
        </w:rPr>
      </w:pPr>
      <w:r w:rsidRPr="00B24EAB">
        <w:rPr>
          <w:i/>
          <w:iCs/>
          <w:sz w:val="20"/>
          <w:szCs w:val="20"/>
        </w:rPr>
        <w:t xml:space="preserve">Note. </w:t>
      </w:r>
      <w:r>
        <w:rPr>
          <w:sz w:val="20"/>
          <w:szCs w:val="20"/>
        </w:rPr>
        <w:t>ASQ-T = Total Alcohol Sensitivity Questionnaire score, BMI = Body Mass Index, GLMM = General Linearized Model.</w:t>
      </w:r>
      <w:r w:rsidR="0027051F">
        <w:rPr>
          <w:sz w:val="20"/>
          <w:szCs w:val="20"/>
        </w:rPr>
        <w:t xml:space="preserve"> 3,414 total observations across 246 subjects. Error distribution: poisson.</w:t>
      </w:r>
    </w:p>
    <w:p w14:paraId="2468E57F" w14:textId="1F3CCB3E" w:rsidR="00BC6216" w:rsidRDefault="00BC6216" w:rsidP="00BC6216">
      <w:pPr>
        <w:jc w:val="both"/>
        <w:rPr>
          <w:b/>
          <w:bCs/>
        </w:rPr>
      </w:pPr>
    </w:p>
    <w:p w14:paraId="7A4DBBCC" w14:textId="132A7CBE" w:rsidR="00BC6216" w:rsidRDefault="00BC6216" w:rsidP="00BC6216">
      <w:pPr>
        <w:jc w:val="both"/>
        <w:rPr>
          <w:b/>
          <w:bCs/>
        </w:rPr>
      </w:pPr>
    </w:p>
    <w:p w14:paraId="600053C5" w14:textId="079AA91A" w:rsidR="00BC6216" w:rsidRDefault="00BC6216" w:rsidP="00BC6216">
      <w:pPr>
        <w:jc w:val="both"/>
        <w:rPr>
          <w:b/>
          <w:bCs/>
        </w:rPr>
      </w:pPr>
    </w:p>
    <w:p w14:paraId="5355F993" w14:textId="24545FE9" w:rsidR="00BC6216" w:rsidRDefault="00BC6216" w:rsidP="00BC6216">
      <w:pPr>
        <w:jc w:val="both"/>
        <w:rPr>
          <w:b/>
          <w:bCs/>
        </w:rPr>
      </w:pPr>
    </w:p>
    <w:p w14:paraId="53F02983" w14:textId="3F756573" w:rsidR="00BC6216" w:rsidRDefault="00BC6216" w:rsidP="00BC6216">
      <w:pPr>
        <w:jc w:val="both"/>
        <w:rPr>
          <w:b/>
          <w:bCs/>
        </w:rPr>
      </w:pPr>
    </w:p>
    <w:p w14:paraId="15C1C4F9" w14:textId="45AE2FEA" w:rsidR="00BC6216" w:rsidRDefault="00BC6216" w:rsidP="00BC6216">
      <w:pPr>
        <w:jc w:val="both"/>
        <w:rPr>
          <w:b/>
          <w:bCs/>
        </w:rPr>
      </w:pPr>
    </w:p>
    <w:p w14:paraId="46710B55" w14:textId="79CCA839" w:rsidR="00BC6216" w:rsidRDefault="00BC6216" w:rsidP="00BC6216">
      <w:pPr>
        <w:jc w:val="both"/>
        <w:rPr>
          <w:b/>
          <w:bCs/>
        </w:rPr>
      </w:pPr>
    </w:p>
    <w:p w14:paraId="3B5E8593" w14:textId="34371D6A" w:rsidR="00BC6216" w:rsidRDefault="00BC6216" w:rsidP="00BC6216">
      <w:pPr>
        <w:jc w:val="both"/>
        <w:rPr>
          <w:b/>
          <w:bCs/>
        </w:rPr>
      </w:pPr>
    </w:p>
    <w:p w14:paraId="41702A26" w14:textId="070DC7F4" w:rsidR="00BC6216" w:rsidRDefault="00BC6216" w:rsidP="00BC6216">
      <w:pPr>
        <w:jc w:val="both"/>
        <w:rPr>
          <w:b/>
          <w:bCs/>
        </w:rPr>
      </w:pPr>
    </w:p>
    <w:p w14:paraId="36BC8E71" w14:textId="7AB164BB" w:rsidR="00BC6216" w:rsidRDefault="00BC6216" w:rsidP="00BC6216">
      <w:pPr>
        <w:jc w:val="both"/>
        <w:rPr>
          <w:b/>
          <w:bCs/>
        </w:rPr>
      </w:pPr>
    </w:p>
    <w:p w14:paraId="0272586B" w14:textId="77B6A55C" w:rsidR="00BC6216" w:rsidRDefault="00BC6216" w:rsidP="00BC6216">
      <w:pPr>
        <w:jc w:val="both"/>
        <w:rPr>
          <w:b/>
          <w:bCs/>
        </w:rPr>
      </w:pPr>
    </w:p>
    <w:p w14:paraId="34F2A5DF" w14:textId="5BD238B2" w:rsidR="00BC6216" w:rsidRDefault="00BC6216" w:rsidP="00BC6216">
      <w:pPr>
        <w:jc w:val="both"/>
        <w:rPr>
          <w:b/>
          <w:bCs/>
        </w:rPr>
      </w:pPr>
    </w:p>
    <w:p w14:paraId="2AD5F8F4" w14:textId="6DBC7EE1" w:rsidR="00BC6216" w:rsidRDefault="00BC6216" w:rsidP="00BC6216">
      <w:pPr>
        <w:jc w:val="both"/>
        <w:rPr>
          <w:b/>
          <w:bCs/>
        </w:rPr>
      </w:pPr>
    </w:p>
    <w:p w14:paraId="735C808F" w14:textId="3EBCF3D9" w:rsidR="00BC6216" w:rsidRDefault="00BC6216" w:rsidP="00BC6216">
      <w:pPr>
        <w:jc w:val="both"/>
        <w:rPr>
          <w:b/>
          <w:bCs/>
        </w:rPr>
      </w:pPr>
    </w:p>
    <w:p w14:paraId="71E39615" w14:textId="4301A40E" w:rsidR="00BC6216" w:rsidRDefault="00BC6216" w:rsidP="00BC6216">
      <w:pPr>
        <w:jc w:val="both"/>
        <w:rPr>
          <w:b/>
          <w:bCs/>
        </w:rPr>
      </w:pPr>
    </w:p>
    <w:p w14:paraId="30FF93D0" w14:textId="57D66D86" w:rsidR="00BC6216" w:rsidRDefault="00BC6216" w:rsidP="00BC6216">
      <w:pPr>
        <w:jc w:val="both"/>
        <w:rPr>
          <w:b/>
          <w:bCs/>
        </w:rPr>
      </w:pPr>
    </w:p>
    <w:p w14:paraId="67390E2E" w14:textId="77777777" w:rsidR="00BC6216" w:rsidRDefault="00BC6216" w:rsidP="00BC6216">
      <w:pPr>
        <w:jc w:val="both"/>
        <w:rPr>
          <w:b/>
          <w:bCs/>
        </w:rPr>
      </w:pPr>
    </w:p>
    <w:p w14:paraId="12E1DAC6" w14:textId="2A430528" w:rsidR="00BC6216" w:rsidRDefault="00BC6216" w:rsidP="00BC6216">
      <w:pPr>
        <w:jc w:val="both"/>
        <w:rPr>
          <w:b/>
          <w:bCs/>
        </w:rPr>
      </w:pPr>
      <w:r>
        <w:rPr>
          <w:b/>
          <w:bCs/>
        </w:rPr>
        <w:lastRenderedPageBreak/>
        <w:t>Figure 1</w:t>
      </w:r>
    </w:p>
    <w:p w14:paraId="7D928C28" w14:textId="4B7AA2EA" w:rsidR="00BC6216" w:rsidRPr="00B24EAB" w:rsidRDefault="00BC6216" w:rsidP="00BC6216">
      <w:pPr>
        <w:jc w:val="both"/>
        <w:rPr>
          <w:i/>
          <w:iCs/>
        </w:rPr>
      </w:pPr>
      <w:r>
        <w:rPr>
          <w:i/>
          <w:iCs/>
        </w:rPr>
        <w:t>Interaction between ASQ-T and Between-person number of drinks</w:t>
      </w:r>
    </w:p>
    <w:p w14:paraId="7A17DD81" w14:textId="2F5782A1" w:rsidR="00BC6216" w:rsidRDefault="00B76457" w:rsidP="00B76457">
      <w:pPr>
        <w:jc w:val="center"/>
      </w:pPr>
      <w:r>
        <w:rPr>
          <w:noProof/>
        </w:rPr>
        <w:drawing>
          <wp:inline distT="0" distB="0" distL="0" distR="0" wp14:anchorId="4B3B1DD9" wp14:editId="14688519">
            <wp:extent cx="3435409" cy="3136306"/>
            <wp:effectExtent l="0" t="0" r="6350" b="635"/>
            <wp:docPr id="3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16" cy="320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98B30" w14:textId="7A692904" w:rsidR="00BC6216" w:rsidRDefault="00BC6216" w:rsidP="00BC6216">
      <w:pPr>
        <w:jc w:val="center"/>
      </w:pPr>
    </w:p>
    <w:p w14:paraId="1D7D6484" w14:textId="237570D4" w:rsidR="00BC6216" w:rsidRPr="00B24EAB" w:rsidRDefault="00BC6216" w:rsidP="00BC6216">
      <w:pPr>
        <w:jc w:val="both"/>
        <w:rPr>
          <w:sz w:val="20"/>
          <w:szCs w:val="20"/>
        </w:rPr>
      </w:pPr>
      <w:r w:rsidRPr="00B24EAB">
        <w:rPr>
          <w:i/>
          <w:iCs/>
          <w:sz w:val="20"/>
          <w:szCs w:val="20"/>
        </w:rPr>
        <w:t>Note.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num_drinks_BTWN = Between-persons number of drinks, HS = High Sensitivity, LS = Low Sensitivity.</w:t>
      </w:r>
      <w:r w:rsidR="0027051F">
        <w:rPr>
          <w:sz w:val="20"/>
          <w:szCs w:val="20"/>
        </w:rPr>
        <w:t xml:space="preserve">         Rate = Predicted Consequence Count.</w:t>
      </w:r>
    </w:p>
    <w:p w14:paraId="6E85D8A5" w14:textId="77777777" w:rsidR="00BC6216" w:rsidRDefault="00BC6216" w:rsidP="00BC6216">
      <w:pPr>
        <w:jc w:val="center"/>
      </w:pPr>
    </w:p>
    <w:p w14:paraId="1FD51C3B" w14:textId="77777777" w:rsidR="00BC6216" w:rsidRDefault="00BC6216" w:rsidP="00BC6216"/>
    <w:p w14:paraId="4DA8BD0E" w14:textId="77777777" w:rsidR="00BC6216" w:rsidRDefault="00BC6216" w:rsidP="00BC6216"/>
    <w:p w14:paraId="5D698FB6" w14:textId="77777777" w:rsidR="00BC6216" w:rsidRDefault="00BC6216" w:rsidP="00BC6216"/>
    <w:p w14:paraId="0824A68A" w14:textId="77777777" w:rsidR="00BC6216" w:rsidRDefault="00BC6216" w:rsidP="00BC6216">
      <w:pPr>
        <w:jc w:val="center"/>
      </w:pPr>
    </w:p>
    <w:p w14:paraId="0115ADF7" w14:textId="67CCDE65" w:rsidR="00BC6216" w:rsidRDefault="00BC6216" w:rsidP="00BC6216"/>
    <w:p w14:paraId="397CBFE7" w14:textId="01DADA63" w:rsidR="00BC6216" w:rsidRDefault="00BC6216" w:rsidP="00BC6216"/>
    <w:p w14:paraId="43F8B6CC" w14:textId="378977BE" w:rsidR="00BC6216" w:rsidRDefault="00BC6216" w:rsidP="00BC6216"/>
    <w:p w14:paraId="2FC39761" w14:textId="7D933887" w:rsidR="00BC6216" w:rsidRDefault="00BC6216" w:rsidP="00BC6216"/>
    <w:p w14:paraId="13ECA083" w14:textId="77D672AA" w:rsidR="00BC6216" w:rsidRDefault="00BC6216" w:rsidP="00BC6216"/>
    <w:p w14:paraId="78F9E2FC" w14:textId="2585C7DF" w:rsidR="00BC6216" w:rsidRDefault="00BC6216" w:rsidP="00BC6216"/>
    <w:p w14:paraId="18518643" w14:textId="0A98806D" w:rsidR="00BC6216" w:rsidRDefault="00BC6216" w:rsidP="00BC6216"/>
    <w:p w14:paraId="17837F09" w14:textId="2AAD40E8" w:rsidR="00BC6216" w:rsidRDefault="00BC6216" w:rsidP="00BC6216"/>
    <w:p w14:paraId="539FC671" w14:textId="338CC5CD" w:rsidR="00BC6216" w:rsidRDefault="00BC6216" w:rsidP="00BC6216"/>
    <w:p w14:paraId="3A8D20C4" w14:textId="532ECA21" w:rsidR="00BC6216" w:rsidRDefault="00BC6216" w:rsidP="00BC6216"/>
    <w:p w14:paraId="450D4667" w14:textId="2952C545" w:rsidR="00BC6216" w:rsidRDefault="00BC6216" w:rsidP="00BC6216"/>
    <w:p w14:paraId="6766B876" w14:textId="6ABF833F" w:rsidR="00BC6216" w:rsidRDefault="00BC6216" w:rsidP="00BC6216"/>
    <w:p w14:paraId="501AF5CE" w14:textId="3554CB95" w:rsidR="00BC6216" w:rsidRDefault="00BC6216" w:rsidP="00BC6216"/>
    <w:p w14:paraId="1112F49D" w14:textId="1F3EEA94" w:rsidR="00BC6216" w:rsidRDefault="00BC6216" w:rsidP="00BC6216"/>
    <w:p w14:paraId="4BB9E471" w14:textId="357D9121" w:rsidR="00BC6216" w:rsidRDefault="00BC6216" w:rsidP="00BC6216"/>
    <w:p w14:paraId="2D355CCE" w14:textId="73361F0D" w:rsidR="00BC6216" w:rsidRDefault="00BC6216" w:rsidP="00BC6216"/>
    <w:p w14:paraId="7E523C37" w14:textId="33DD0BFB" w:rsidR="00BC6216" w:rsidRDefault="00BC6216" w:rsidP="00BC6216"/>
    <w:p w14:paraId="42217BB8" w14:textId="19940C07" w:rsidR="00BC6216" w:rsidRDefault="00BC6216" w:rsidP="00BC6216"/>
    <w:p w14:paraId="1DFC77C2" w14:textId="77777777" w:rsidR="0027051F" w:rsidRDefault="0027051F" w:rsidP="00BC6216"/>
    <w:p w14:paraId="5290AF8B" w14:textId="77777777" w:rsidR="0027051F" w:rsidRPr="0027051F" w:rsidRDefault="00BC6216" w:rsidP="00DA16AC">
      <w:pPr>
        <w:pStyle w:val="CommentText"/>
        <w:ind w:firstLine="720"/>
        <w:rPr>
          <w:sz w:val="24"/>
          <w:szCs w:val="24"/>
        </w:rPr>
      </w:pPr>
      <w:r w:rsidRPr="0027051F">
        <w:rPr>
          <w:sz w:val="24"/>
          <w:szCs w:val="24"/>
        </w:rPr>
        <w:lastRenderedPageBreak/>
        <w:t>Results of the GLMM predicting drinking consequence count from ASQ-H, within-person number of drinks, between-person number of drinks, BMI and the interactions between ASQ-H and both within- and between-person number of drinks are displayed in Table 2.</w:t>
      </w:r>
      <w:r>
        <w:t xml:space="preserve"> </w:t>
      </w:r>
      <w:r w:rsidR="0027051F" w:rsidRPr="0027051F">
        <w:rPr>
          <w:sz w:val="24"/>
          <w:szCs w:val="24"/>
        </w:rPr>
        <w:t xml:space="preserve">This model shows that the consequence </w:t>
      </w:r>
      <w:proofErr w:type="gramStart"/>
      <w:r w:rsidR="0027051F" w:rsidRPr="0027051F">
        <w:rPr>
          <w:sz w:val="24"/>
          <w:szCs w:val="24"/>
        </w:rPr>
        <w:t>count</w:t>
      </w:r>
      <w:proofErr w:type="gramEnd"/>
      <w:r w:rsidR="0027051F" w:rsidRPr="0027051F">
        <w:rPr>
          <w:sz w:val="24"/>
          <w:szCs w:val="24"/>
        </w:rPr>
        <w:t xml:space="preserve"> increased as the number of drinks consumed the night before increased relative to any given person's average level of drinking across the EMA period</w:t>
      </w:r>
      <w:r w:rsidR="0027051F">
        <w:rPr>
          <w:sz w:val="24"/>
          <w:szCs w:val="24"/>
        </w:rPr>
        <w:t>.</w:t>
      </w:r>
    </w:p>
    <w:p w14:paraId="49D880C4" w14:textId="2EFB8F20" w:rsidR="00BC6216" w:rsidRPr="00B24EAB" w:rsidRDefault="0027051F" w:rsidP="0027051F">
      <w:r>
        <w:t>Consequence count</w:t>
      </w:r>
      <w:r w:rsidRPr="0027051F">
        <w:t xml:space="preserve"> was greater for individuals who tended to drink more heavily across the EMA period</w:t>
      </w:r>
      <w:r>
        <w:t xml:space="preserve"> as well</w:t>
      </w:r>
      <w:r w:rsidRPr="0027051F">
        <w:t>.</w:t>
      </w:r>
      <w:r w:rsidR="00BC6216">
        <w:t xml:space="preserve"> Of greater interest, the model shows the interaction between ASQ-H and between-person number of drinks is significantly associated with consequence count. Figure 2 displays this interaction.</w:t>
      </w:r>
    </w:p>
    <w:p w14:paraId="11D0B0A7" w14:textId="77777777" w:rsidR="00BC6216" w:rsidRDefault="00BC6216" w:rsidP="00BC6216">
      <w:pPr>
        <w:rPr>
          <w:b/>
          <w:bCs/>
        </w:rPr>
      </w:pPr>
    </w:p>
    <w:p w14:paraId="0E15BB28" w14:textId="113941AB" w:rsidR="00BC6216" w:rsidRDefault="00BC6216" w:rsidP="00BC6216">
      <w:pPr>
        <w:rPr>
          <w:b/>
          <w:bCs/>
        </w:rPr>
      </w:pPr>
      <w:r>
        <w:rPr>
          <w:b/>
          <w:bCs/>
        </w:rPr>
        <w:t>Table 2</w:t>
      </w:r>
    </w:p>
    <w:p w14:paraId="72B9A1C1" w14:textId="5E6B130D" w:rsidR="00BC6216" w:rsidRPr="00B24EAB" w:rsidRDefault="00BC6216" w:rsidP="00BC6216">
      <w:pPr>
        <w:rPr>
          <w:i/>
          <w:iCs/>
        </w:rPr>
      </w:pPr>
      <w:r>
        <w:rPr>
          <w:i/>
          <w:iCs/>
        </w:rPr>
        <w:t xml:space="preserve">Fixed and Random Effects 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Multilevel Regression Analyses Predicting Drinking Consequence Count</w:t>
      </w:r>
      <w:r>
        <w:t xml:space="preserve"> </w:t>
      </w:r>
      <w:r>
        <w:rPr>
          <w:i/>
          <w:iCs/>
        </w:rPr>
        <w:t>Based on ASQ-H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1"/>
        <w:gridCol w:w="1301"/>
        <w:gridCol w:w="1133"/>
        <w:gridCol w:w="936"/>
        <w:gridCol w:w="1129"/>
      </w:tblGrid>
      <w:tr w:rsidR="00BC6216" w14:paraId="1C2BB6C5" w14:textId="77777777" w:rsidTr="004840B2">
        <w:tc>
          <w:tcPr>
            <w:tcW w:w="4851" w:type="dxa"/>
          </w:tcPr>
          <w:p w14:paraId="567F5A1B" w14:textId="77777777" w:rsidR="00BC6216" w:rsidRDefault="00BC6216" w:rsidP="004840B2">
            <w:r>
              <w:t>Predictors in GLMM</w:t>
            </w:r>
          </w:p>
        </w:tc>
        <w:tc>
          <w:tcPr>
            <w:tcW w:w="1301" w:type="dxa"/>
          </w:tcPr>
          <w:p w14:paraId="6EB09459" w14:textId="77777777" w:rsidR="00BC6216" w:rsidRDefault="00BC6216" w:rsidP="004840B2">
            <w:r>
              <w:t xml:space="preserve">Estimate </w:t>
            </w:r>
          </w:p>
        </w:tc>
        <w:tc>
          <w:tcPr>
            <w:tcW w:w="1133" w:type="dxa"/>
          </w:tcPr>
          <w:p w14:paraId="073812AC" w14:textId="77777777" w:rsidR="00BC6216" w:rsidRDefault="00BC6216" w:rsidP="004840B2">
            <w:r>
              <w:t>Std. Error</w:t>
            </w:r>
          </w:p>
        </w:tc>
        <w:tc>
          <w:tcPr>
            <w:tcW w:w="936" w:type="dxa"/>
          </w:tcPr>
          <w:p w14:paraId="0D30F92D" w14:textId="77777777" w:rsidR="00BC6216" w:rsidRDefault="00BC6216" w:rsidP="004840B2">
            <w:r>
              <w:t>z value</w:t>
            </w:r>
          </w:p>
        </w:tc>
        <w:tc>
          <w:tcPr>
            <w:tcW w:w="1129" w:type="dxa"/>
          </w:tcPr>
          <w:p w14:paraId="2AD3D8AA" w14:textId="77777777" w:rsidR="00BC6216" w:rsidRDefault="00BC6216" w:rsidP="004840B2">
            <w:r>
              <w:t>p</w:t>
            </w:r>
          </w:p>
        </w:tc>
      </w:tr>
      <w:tr w:rsidR="00BC6216" w14:paraId="6807716A" w14:textId="77777777" w:rsidTr="004840B2">
        <w:tc>
          <w:tcPr>
            <w:tcW w:w="4851" w:type="dxa"/>
          </w:tcPr>
          <w:p w14:paraId="540F6235" w14:textId="77777777" w:rsidR="00BC6216" w:rsidRDefault="00BC6216" w:rsidP="004840B2">
            <w:r>
              <w:t xml:space="preserve">Intercept                 </w:t>
            </w:r>
          </w:p>
        </w:tc>
        <w:tc>
          <w:tcPr>
            <w:tcW w:w="1301" w:type="dxa"/>
          </w:tcPr>
          <w:p w14:paraId="6D375F65" w14:textId="77777777" w:rsidR="00BC6216" w:rsidRDefault="00BC6216" w:rsidP="004840B2">
            <w:r w:rsidRPr="00C915C7">
              <w:t xml:space="preserve">-0.97261    </w:t>
            </w:r>
          </w:p>
        </w:tc>
        <w:tc>
          <w:tcPr>
            <w:tcW w:w="1133" w:type="dxa"/>
          </w:tcPr>
          <w:p w14:paraId="0053A539" w14:textId="77777777" w:rsidR="00BC6216" w:rsidRDefault="00BC6216" w:rsidP="004840B2">
            <w:r w:rsidRPr="00C915C7">
              <w:t xml:space="preserve">0.57493  </w:t>
            </w:r>
          </w:p>
        </w:tc>
        <w:tc>
          <w:tcPr>
            <w:tcW w:w="936" w:type="dxa"/>
          </w:tcPr>
          <w:p w14:paraId="23F6352E" w14:textId="77777777" w:rsidR="00BC6216" w:rsidRDefault="00BC6216" w:rsidP="004840B2">
            <w:r w:rsidRPr="00C915C7">
              <w:t xml:space="preserve">-1.692   </w:t>
            </w:r>
          </w:p>
        </w:tc>
        <w:tc>
          <w:tcPr>
            <w:tcW w:w="1129" w:type="dxa"/>
          </w:tcPr>
          <w:p w14:paraId="3762E567" w14:textId="77777777" w:rsidR="00BC6216" w:rsidRDefault="00BC6216" w:rsidP="004840B2">
            <w:r w:rsidRPr="00C915C7">
              <w:t xml:space="preserve">0.0907  </w:t>
            </w:r>
          </w:p>
        </w:tc>
      </w:tr>
      <w:tr w:rsidR="00BC6216" w14:paraId="30B24FBD" w14:textId="77777777" w:rsidTr="004840B2">
        <w:tc>
          <w:tcPr>
            <w:tcW w:w="4851" w:type="dxa"/>
          </w:tcPr>
          <w:p w14:paraId="0096D6EA" w14:textId="188A417D" w:rsidR="00BC6216" w:rsidRDefault="00BC6216" w:rsidP="004840B2">
            <w:r>
              <w:t xml:space="preserve">ASQ-H score                 </w:t>
            </w:r>
          </w:p>
        </w:tc>
        <w:tc>
          <w:tcPr>
            <w:tcW w:w="1301" w:type="dxa"/>
          </w:tcPr>
          <w:p w14:paraId="35BF7599" w14:textId="77777777" w:rsidR="00BC6216" w:rsidRDefault="00BC6216" w:rsidP="004840B2">
            <w:r w:rsidRPr="00023CDF">
              <w:t xml:space="preserve">0.15725    </w:t>
            </w:r>
          </w:p>
        </w:tc>
        <w:tc>
          <w:tcPr>
            <w:tcW w:w="1133" w:type="dxa"/>
          </w:tcPr>
          <w:p w14:paraId="0D0F36F8" w14:textId="77777777" w:rsidR="00BC6216" w:rsidRDefault="00BC6216" w:rsidP="004840B2">
            <w:r w:rsidRPr="00023CDF">
              <w:t xml:space="preserve">0.22386   </w:t>
            </w:r>
          </w:p>
        </w:tc>
        <w:tc>
          <w:tcPr>
            <w:tcW w:w="936" w:type="dxa"/>
          </w:tcPr>
          <w:p w14:paraId="1BBC7281" w14:textId="77777777" w:rsidR="00BC6216" w:rsidRDefault="00BC6216" w:rsidP="004840B2">
            <w:r w:rsidRPr="00023CDF">
              <w:t xml:space="preserve">0.702   </w:t>
            </w:r>
          </w:p>
        </w:tc>
        <w:tc>
          <w:tcPr>
            <w:tcW w:w="1129" w:type="dxa"/>
          </w:tcPr>
          <w:p w14:paraId="2781915C" w14:textId="77777777" w:rsidR="00BC6216" w:rsidRDefault="00BC6216" w:rsidP="004840B2">
            <w:r w:rsidRPr="00023CDF">
              <w:t xml:space="preserve">0.4824    </w:t>
            </w:r>
          </w:p>
        </w:tc>
      </w:tr>
      <w:tr w:rsidR="00BC6216" w14:paraId="07B10DB6" w14:textId="77777777" w:rsidTr="004840B2">
        <w:tc>
          <w:tcPr>
            <w:tcW w:w="4851" w:type="dxa"/>
          </w:tcPr>
          <w:p w14:paraId="43A9CCEB" w14:textId="77777777" w:rsidR="00BC6216" w:rsidRDefault="00BC6216" w:rsidP="004840B2">
            <w:r>
              <w:t xml:space="preserve">Within-person number of drinks              </w:t>
            </w:r>
          </w:p>
        </w:tc>
        <w:tc>
          <w:tcPr>
            <w:tcW w:w="1301" w:type="dxa"/>
          </w:tcPr>
          <w:p w14:paraId="6427233E" w14:textId="77777777" w:rsidR="00BC6216" w:rsidRDefault="00BC6216" w:rsidP="004840B2">
            <w:r w:rsidRPr="005D4027">
              <w:t xml:space="preserve">0.18701    </w:t>
            </w:r>
          </w:p>
        </w:tc>
        <w:tc>
          <w:tcPr>
            <w:tcW w:w="1133" w:type="dxa"/>
          </w:tcPr>
          <w:p w14:paraId="4C7FF37D" w14:textId="77777777" w:rsidR="00BC6216" w:rsidRDefault="00BC6216" w:rsidP="004840B2">
            <w:r w:rsidRPr="005D4027">
              <w:t xml:space="preserve">0.01972   </w:t>
            </w:r>
          </w:p>
        </w:tc>
        <w:tc>
          <w:tcPr>
            <w:tcW w:w="936" w:type="dxa"/>
          </w:tcPr>
          <w:p w14:paraId="63ACE6D0" w14:textId="77777777" w:rsidR="00BC6216" w:rsidRDefault="00BC6216" w:rsidP="004840B2">
            <w:r w:rsidRPr="005D4027">
              <w:t xml:space="preserve">9.486  </w:t>
            </w:r>
          </w:p>
        </w:tc>
        <w:tc>
          <w:tcPr>
            <w:tcW w:w="1129" w:type="dxa"/>
          </w:tcPr>
          <w:p w14:paraId="7B1FA2AF" w14:textId="77777777" w:rsidR="00BC6216" w:rsidRDefault="00BC6216" w:rsidP="004840B2">
            <w:r>
              <w:t xml:space="preserve">&lt; </w:t>
            </w:r>
            <w:r w:rsidRPr="005D4027">
              <w:t xml:space="preserve">2e-16 </w:t>
            </w:r>
          </w:p>
        </w:tc>
      </w:tr>
      <w:tr w:rsidR="00BC6216" w14:paraId="45CE5FFB" w14:textId="77777777" w:rsidTr="004840B2">
        <w:tc>
          <w:tcPr>
            <w:tcW w:w="4851" w:type="dxa"/>
          </w:tcPr>
          <w:p w14:paraId="2E67B597" w14:textId="77777777" w:rsidR="00BC6216" w:rsidRDefault="00BC6216" w:rsidP="004840B2">
            <w:r>
              <w:t xml:space="preserve">Between-persons number of drinks             </w:t>
            </w:r>
          </w:p>
        </w:tc>
        <w:tc>
          <w:tcPr>
            <w:tcW w:w="1301" w:type="dxa"/>
          </w:tcPr>
          <w:p w14:paraId="5BAE3DB7" w14:textId="77777777" w:rsidR="00BC6216" w:rsidRDefault="00BC6216" w:rsidP="004840B2">
            <w:r w:rsidRPr="00B31AD3">
              <w:t xml:space="preserve">0.20840    </w:t>
            </w:r>
          </w:p>
        </w:tc>
        <w:tc>
          <w:tcPr>
            <w:tcW w:w="1133" w:type="dxa"/>
          </w:tcPr>
          <w:p w14:paraId="468289D8" w14:textId="77777777" w:rsidR="00BC6216" w:rsidRDefault="00BC6216" w:rsidP="004840B2">
            <w:r w:rsidRPr="00B31AD3">
              <w:t xml:space="preserve">0.03128   </w:t>
            </w:r>
          </w:p>
        </w:tc>
        <w:tc>
          <w:tcPr>
            <w:tcW w:w="936" w:type="dxa"/>
          </w:tcPr>
          <w:p w14:paraId="18EF00AF" w14:textId="77777777" w:rsidR="00BC6216" w:rsidRDefault="00BC6216" w:rsidP="004840B2">
            <w:r w:rsidRPr="00B31AD3">
              <w:t xml:space="preserve">6.663 </w:t>
            </w:r>
          </w:p>
        </w:tc>
        <w:tc>
          <w:tcPr>
            <w:tcW w:w="1129" w:type="dxa"/>
          </w:tcPr>
          <w:p w14:paraId="23F9EB8E" w14:textId="77777777" w:rsidR="00BC6216" w:rsidRDefault="00BC6216" w:rsidP="004840B2">
            <w:r w:rsidRPr="00B31AD3">
              <w:t xml:space="preserve">2.68e-11 </w:t>
            </w:r>
          </w:p>
        </w:tc>
      </w:tr>
      <w:tr w:rsidR="00BC6216" w14:paraId="2BDE2016" w14:textId="77777777" w:rsidTr="004840B2">
        <w:tc>
          <w:tcPr>
            <w:tcW w:w="4851" w:type="dxa"/>
          </w:tcPr>
          <w:p w14:paraId="1944FF45" w14:textId="77777777" w:rsidR="00BC6216" w:rsidRDefault="00BC6216" w:rsidP="004840B2">
            <w:r>
              <w:t xml:space="preserve">BMI   </w:t>
            </w:r>
          </w:p>
        </w:tc>
        <w:tc>
          <w:tcPr>
            <w:tcW w:w="1301" w:type="dxa"/>
          </w:tcPr>
          <w:p w14:paraId="0701C0CD" w14:textId="77777777" w:rsidR="00BC6216" w:rsidRDefault="00BC6216" w:rsidP="004840B2">
            <w:r w:rsidRPr="008212AC">
              <w:t xml:space="preserve">-0.03948    </w:t>
            </w:r>
          </w:p>
        </w:tc>
        <w:tc>
          <w:tcPr>
            <w:tcW w:w="1133" w:type="dxa"/>
          </w:tcPr>
          <w:p w14:paraId="694E3DEE" w14:textId="77777777" w:rsidR="00BC6216" w:rsidRDefault="00BC6216" w:rsidP="004840B2">
            <w:r w:rsidRPr="008212AC">
              <w:t xml:space="preserve">0.02254  </w:t>
            </w:r>
          </w:p>
        </w:tc>
        <w:tc>
          <w:tcPr>
            <w:tcW w:w="936" w:type="dxa"/>
          </w:tcPr>
          <w:p w14:paraId="79AABBE8" w14:textId="77777777" w:rsidR="00BC6216" w:rsidRDefault="00BC6216" w:rsidP="004840B2">
            <w:r w:rsidRPr="008212AC">
              <w:t xml:space="preserve">-1.751   </w:t>
            </w:r>
          </w:p>
        </w:tc>
        <w:tc>
          <w:tcPr>
            <w:tcW w:w="1129" w:type="dxa"/>
          </w:tcPr>
          <w:p w14:paraId="25F7BB6E" w14:textId="77777777" w:rsidR="00BC6216" w:rsidRDefault="00BC6216" w:rsidP="004840B2">
            <w:r w:rsidRPr="008212AC">
              <w:t xml:space="preserve">0.0799  </w:t>
            </w:r>
          </w:p>
        </w:tc>
      </w:tr>
      <w:tr w:rsidR="00BC6216" w14:paraId="11378496" w14:textId="77777777" w:rsidTr="004840B2">
        <w:tc>
          <w:tcPr>
            <w:tcW w:w="4851" w:type="dxa"/>
          </w:tcPr>
          <w:p w14:paraId="0381BD85" w14:textId="7F00002D" w:rsidR="00BC6216" w:rsidRDefault="00BC6216" w:rsidP="004840B2">
            <w:r>
              <w:t xml:space="preserve">ASQ-H </w:t>
            </w:r>
            <w:r w:rsidRPr="00B24EAB">
              <w:rPr>
                <w:rFonts w:ascii="Arial" w:hAnsi="Arial" w:cs="Arial"/>
                <w:sz w:val="18"/>
                <w:szCs w:val="18"/>
              </w:rPr>
              <w:t>X</w:t>
            </w:r>
            <w:r w:rsidRPr="00B24EAB">
              <w:rPr>
                <w:sz w:val="18"/>
                <w:szCs w:val="18"/>
              </w:rPr>
              <w:t xml:space="preserve"> </w:t>
            </w:r>
            <w:r>
              <w:t>Within-person number of drinks</w:t>
            </w:r>
          </w:p>
        </w:tc>
        <w:tc>
          <w:tcPr>
            <w:tcW w:w="1301" w:type="dxa"/>
          </w:tcPr>
          <w:p w14:paraId="23503C68" w14:textId="77777777" w:rsidR="00BC6216" w:rsidRDefault="00BC6216" w:rsidP="004840B2">
            <w:r w:rsidRPr="00374B7D">
              <w:t xml:space="preserve">-0.02597    </w:t>
            </w:r>
          </w:p>
        </w:tc>
        <w:tc>
          <w:tcPr>
            <w:tcW w:w="1133" w:type="dxa"/>
          </w:tcPr>
          <w:p w14:paraId="582A383F" w14:textId="77777777" w:rsidR="00BC6216" w:rsidRDefault="00BC6216" w:rsidP="004840B2">
            <w:r w:rsidRPr="00374B7D">
              <w:t xml:space="preserve">0.02546  </w:t>
            </w:r>
          </w:p>
        </w:tc>
        <w:tc>
          <w:tcPr>
            <w:tcW w:w="936" w:type="dxa"/>
          </w:tcPr>
          <w:p w14:paraId="66BCBA40" w14:textId="77777777" w:rsidR="00BC6216" w:rsidRDefault="00BC6216" w:rsidP="004840B2">
            <w:r w:rsidRPr="00374B7D">
              <w:t xml:space="preserve">-1.020   </w:t>
            </w:r>
          </w:p>
        </w:tc>
        <w:tc>
          <w:tcPr>
            <w:tcW w:w="1129" w:type="dxa"/>
          </w:tcPr>
          <w:p w14:paraId="714222A2" w14:textId="77777777" w:rsidR="00BC6216" w:rsidRDefault="00BC6216" w:rsidP="004840B2">
            <w:r w:rsidRPr="00374B7D">
              <w:t xml:space="preserve">0.3077    </w:t>
            </w:r>
          </w:p>
        </w:tc>
      </w:tr>
      <w:tr w:rsidR="00BC6216" w14:paraId="76FC2AD3" w14:textId="77777777" w:rsidTr="004840B2">
        <w:tc>
          <w:tcPr>
            <w:tcW w:w="4851" w:type="dxa"/>
          </w:tcPr>
          <w:p w14:paraId="19E618FB" w14:textId="3E13CC1D" w:rsidR="00BC6216" w:rsidRDefault="00BC6216" w:rsidP="004840B2">
            <w:r>
              <w:t xml:space="preserve">ASQ-H </w:t>
            </w:r>
            <w:r w:rsidRPr="00B24EAB">
              <w:rPr>
                <w:rFonts w:ascii="Arial" w:hAnsi="Arial" w:cs="Arial"/>
                <w:sz w:val="18"/>
                <w:szCs w:val="18"/>
              </w:rPr>
              <w:t>X</w:t>
            </w:r>
            <w:r w:rsidRPr="00B24EAB">
              <w:rPr>
                <w:sz w:val="18"/>
                <w:szCs w:val="18"/>
              </w:rPr>
              <w:t xml:space="preserve"> </w:t>
            </w:r>
            <w:r>
              <w:t>Between-person number of drinks</w:t>
            </w:r>
          </w:p>
        </w:tc>
        <w:tc>
          <w:tcPr>
            <w:tcW w:w="1301" w:type="dxa"/>
          </w:tcPr>
          <w:p w14:paraId="2B590849" w14:textId="77777777" w:rsidR="00BC6216" w:rsidRDefault="00BC6216" w:rsidP="004840B2">
            <w:r w:rsidRPr="00AB72F4">
              <w:t xml:space="preserve">-0.06138    </w:t>
            </w:r>
          </w:p>
        </w:tc>
        <w:tc>
          <w:tcPr>
            <w:tcW w:w="1133" w:type="dxa"/>
          </w:tcPr>
          <w:p w14:paraId="119FADB7" w14:textId="77777777" w:rsidR="00BC6216" w:rsidRDefault="00BC6216" w:rsidP="004840B2">
            <w:r w:rsidRPr="00AB72F4">
              <w:t xml:space="preserve">0.02690  </w:t>
            </w:r>
          </w:p>
        </w:tc>
        <w:tc>
          <w:tcPr>
            <w:tcW w:w="936" w:type="dxa"/>
          </w:tcPr>
          <w:p w14:paraId="35D80D1D" w14:textId="77777777" w:rsidR="00BC6216" w:rsidRDefault="00BC6216" w:rsidP="004840B2">
            <w:r w:rsidRPr="00AB72F4">
              <w:t xml:space="preserve">-2.282   </w:t>
            </w:r>
          </w:p>
        </w:tc>
        <w:tc>
          <w:tcPr>
            <w:tcW w:w="1129" w:type="dxa"/>
          </w:tcPr>
          <w:p w14:paraId="3C7BDDE3" w14:textId="77777777" w:rsidR="00BC6216" w:rsidRDefault="00BC6216" w:rsidP="004840B2">
            <w:r w:rsidRPr="00AB72F4">
              <w:t xml:space="preserve">0.0225   </w:t>
            </w:r>
          </w:p>
        </w:tc>
      </w:tr>
    </w:tbl>
    <w:p w14:paraId="4303C6EE" w14:textId="28CAE775" w:rsidR="00BC6216" w:rsidRPr="00573A6A" w:rsidRDefault="00BC6216" w:rsidP="00BC6216">
      <w:pPr>
        <w:jc w:val="both"/>
        <w:rPr>
          <w:sz w:val="20"/>
          <w:szCs w:val="20"/>
        </w:rPr>
      </w:pPr>
      <w:r w:rsidRPr="00B24EAB">
        <w:rPr>
          <w:i/>
          <w:iCs/>
          <w:sz w:val="20"/>
          <w:szCs w:val="20"/>
        </w:rPr>
        <w:t xml:space="preserve">Note. </w:t>
      </w:r>
      <w:r>
        <w:rPr>
          <w:sz w:val="20"/>
          <w:szCs w:val="20"/>
        </w:rPr>
        <w:t>ASQ-H = High Alcohol Sensitivity Questionnaire score, BMI = Body Mass Index, GLMM = General Linearized Model.</w:t>
      </w:r>
      <w:r w:rsidR="0027051F">
        <w:rPr>
          <w:sz w:val="20"/>
          <w:szCs w:val="20"/>
        </w:rPr>
        <w:t xml:space="preserve"> 3,414 total observations across 246 subjects. Error distribution: poisson.</w:t>
      </w:r>
    </w:p>
    <w:p w14:paraId="74437A91" w14:textId="77777777" w:rsidR="00BC6216" w:rsidRDefault="00BC6216" w:rsidP="00BC6216">
      <w:pPr>
        <w:jc w:val="both"/>
        <w:rPr>
          <w:b/>
          <w:bCs/>
        </w:rPr>
      </w:pPr>
    </w:p>
    <w:p w14:paraId="3E5546D5" w14:textId="77777777" w:rsidR="00BC6216" w:rsidRDefault="00BC6216" w:rsidP="00BC6216">
      <w:pPr>
        <w:jc w:val="both"/>
        <w:rPr>
          <w:b/>
          <w:bCs/>
        </w:rPr>
      </w:pPr>
    </w:p>
    <w:p w14:paraId="4032D1C4" w14:textId="77777777" w:rsidR="00BC6216" w:rsidRDefault="00BC6216" w:rsidP="00BC6216">
      <w:pPr>
        <w:jc w:val="both"/>
        <w:rPr>
          <w:b/>
          <w:bCs/>
        </w:rPr>
      </w:pPr>
    </w:p>
    <w:p w14:paraId="17003D56" w14:textId="77777777" w:rsidR="00BC6216" w:rsidRDefault="00BC6216" w:rsidP="00BC6216">
      <w:pPr>
        <w:jc w:val="both"/>
        <w:rPr>
          <w:b/>
          <w:bCs/>
        </w:rPr>
      </w:pPr>
    </w:p>
    <w:p w14:paraId="02AB1C95" w14:textId="77777777" w:rsidR="00BC6216" w:rsidRDefault="00BC6216" w:rsidP="00BC6216">
      <w:pPr>
        <w:jc w:val="both"/>
        <w:rPr>
          <w:b/>
          <w:bCs/>
        </w:rPr>
      </w:pPr>
    </w:p>
    <w:p w14:paraId="7BCF7D41" w14:textId="77777777" w:rsidR="00BC6216" w:rsidRDefault="00BC6216" w:rsidP="00BC6216">
      <w:pPr>
        <w:jc w:val="both"/>
        <w:rPr>
          <w:b/>
          <w:bCs/>
        </w:rPr>
      </w:pPr>
    </w:p>
    <w:p w14:paraId="780E4FEF" w14:textId="77777777" w:rsidR="00BC6216" w:rsidRDefault="00BC6216" w:rsidP="00BC6216">
      <w:pPr>
        <w:jc w:val="both"/>
        <w:rPr>
          <w:b/>
          <w:bCs/>
        </w:rPr>
      </w:pPr>
    </w:p>
    <w:p w14:paraId="7B62601F" w14:textId="77777777" w:rsidR="00BC6216" w:rsidRDefault="00BC6216" w:rsidP="00BC6216">
      <w:pPr>
        <w:jc w:val="both"/>
        <w:rPr>
          <w:b/>
          <w:bCs/>
        </w:rPr>
      </w:pPr>
    </w:p>
    <w:p w14:paraId="30D80FE8" w14:textId="77777777" w:rsidR="00BC6216" w:rsidRDefault="00BC6216" w:rsidP="00BC6216">
      <w:pPr>
        <w:jc w:val="both"/>
        <w:rPr>
          <w:b/>
          <w:bCs/>
        </w:rPr>
      </w:pPr>
    </w:p>
    <w:p w14:paraId="18245F7C" w14:textId="77777777" w:rsidR="00BC6216" w:rsidRDefault="00BC6216" w:rsidP="00BC6216">
      <w:pPr>
        <w:jc w:val="both"/>
        <w:rPr>
          <w:b/>
          <w:bCs/>
        </w:rPr>
      </w:pPr>
    </w:p>
    <w:p w14:paraId="4921EDE3" w14:textId="77777777" w:rsidR="00BC6216" w:rsidRDefault="00BC6216" w:rsidP="00BC6216">
      <w:pPr>
        <w:jc w:val="both"/>
        <w:rPr>
          <w:b/>
          <w:bCs/>
        </w:rPr>
      </w:pPr>
    </w:p>
    <w:p w14:paraId="3B2237D6" w14:textId="77777777" w:rsidR="00BC6216" w:rsidRDefault="00BC6216" w:rsidP="00BC6216">
      <w:pPr>
        <w:jc w:val="both"/>
        <w:rPr>
          <w:b/>
          <w:bCs/>
        </w:rPr>
      </w:pPr>
    </w:p>
    <w:p w14:paraId="5D08883C" w14:textId="77777777" w:rsidR="00BC6216" w:rsidRDefault="00BC6216" w:rsidP="00BC6216">
      <w:pPr>
        <w:jc w:val="both"/>
        <w:rPr>
          <w:b/>
          <w:bCs/>
        </w:rPr>
      </w:pPr>
    </w:p>
    <w:p w14:paraId="7FDFA478" w14:textId="77777777" w:rsidR="00BC6216" w:rsidRDefault="00BC6216" w:rsidP="00BC6216">
      <w:pPr>
        <w:jc w:val="both"/>
        <w:rPr>
          <w:b/>
          <w:bCs/>
        </w:rPr>
      </w:pPr>
    </w:p>
    <w:p w14:paraId="6E238DCD" w14:textId="77777777" w:rsidR="00BC6216" w:rsidRDefault="00BC6216" w:rsidP="00BC6216">
      <w:pPr>
        <w:jc w:val="both"/>
        <w:rPr>
          <w:b/>
          <w:bCs/>
        </w:rPr>
      </w:pPr>
    </w:p>
    <w:p w14:paraId="6158C2AB" w14:textId="77777777" w:rsidR="00BC6216" w:rsidRDefault="00BC6216" w:rsidP="00BC6216">
      <w:pPr>
        <w:jc w:val="both"/>
        <w:rPr>
          <w:b/>
          <w:bCs/>
        </w:rPr>
      </w:pPr>
    </w:p>
    <w:p w14:paraId="634B07AF" w14:textId="77777777" w:rsidR="00BC6216" w:rsidRDefault="00BC6216" w:rsidP="00BC6216">
      <w:pPr>
        <w:jc w:val="both"/>
        <w:rPr>
          <w:b/>
          <w:bCs/>
        </w:rPr>
      </w:pPr>
    </w:p>
    <w:p w14:paraId="5892F5E9" w14:textId="77777777" w:rsidR="00BC6216" w:rsidRDefault="00BC6216" w:rsidP="00BC6216">
      <w:pPr>
        <w:jc w:val="both"/>
        <w:rPr>
          <w:b/>
          <w:bCs/>
        </w:rPr>
      </w:pPr>
    </w:p>
    <w:p w14:paraId="6A617A5C" w14:textId="77777777" w:rsidR="00BC6216" w:rsidRDefault="00BC6216" w:rsidP="00BC6216">
      <w:pPr>
        <w:jc w:val="both"/>
        <w:rPr>
          <w:b/>
          <w:bCs/>
        </w:rPr>
      </w:pPr>
    </w:p>
    <w:p w14:paraId="6F09150C" w14:textId="77777777" w:rsidR="00BC6216" w:rsidRDefault="00BC6216" w:rsidP="00BC6216">
      <w:pPr>
        <w:jc w:val="both"/>
        <w:rPr>
          <w:b/>
          <w:bCs/>
        </w:rPr>
      </w:pPr>
    </w:p>
    <w:p w14:paraId="73712D99" w14:textId="565CCB27" w:rsidR="00BC6216" w:rsidRDefault="00BC6216" w:rsidP="00BC6216">
      <w:pPr>
        <w:jc w:val="both"/>
        <w:rPr>
          <w:b/>
          <w:bCs/>
        </w:rPr>
      </w:pPr>
    </w:p>
    <w:p w14:paraId="40EA713B" w14:textId="77777777" w:rsidR="0027051F" w:rsidRDefault="0027051F" w:rsidP="00BC6216">
      <w:pPr>
        <w:jc w:val="both"/>
        <w:rPr>
          <w:b/>
          <w:bCs/>
        </w:rPr>
      </w:pPr>
    </w:p>
    <w:p w14:paraId="02F3700E" w14:textId="74F670DC" w:rsidR="00BC6216" w:rsidRDefault="00BC6216" w:rsidP="00BC6216">
      <w:pPr>
        <w:jc w:val="both"/>
        <w:rPr>
          <w:b/>
          <w:bCs/>
        </w:rPr>
      </w:pPr>
      <w:r>
        <w:rPr>
          <w:b/>
          <w:bCs/>
        </w:rPr>
        <w:lastRenderedPageBreak/>
        <w:t>Figure 2</w:t>
      </w:r>
    </w:p>
    <w:p w14:paraId="501E8986" w14:textId="0445A4A9" w:rsidR="00BC6216" w:rsidRPr="00B24EAB" w:rsidRDefault="00BC6216" w:rsidP="00BC6216">
      <w:pPr>
        <w:jc w:val="both"/>
        <w:rPr>
          <w:i/>
          <w:iCs/>
        </w:rPr>
      </w:pPr>
      <w:r>
        <w:rPr>
          <w:i/>
          <w:iCs/>
        </w:rPr>
        <w:t>Interaction between ASQ-H and Between-person number of drinks</w:t>
      </w:r>
    </w:p>
    <w:p w14:paraId="3E8EBB9D" w14:textId="77777777" w:rsidR="00BC6216" w:rsidRDefault="00BC6216" w:rsidP="00BC6216">
      <w:r>
        <w:t xml:space="preserve">   </w:t>
      </w:r>
    </w:p>
    <w:p w14:paraId="04C05007" w14:textId="46E459C0" w:rsidR="00BC6216" w:rsidRDefault="00B76457" w:rsidP="00BC6216">
      <w:pPr>
        <w:jc w:val="center"/>
      </w:pPr>
      <w:r>
        <w:rPr>
          <w:noProof/>
        </w:rPr>
        <w:drawing>
          <wp:inline distT="0" distB="0" distL="0" distR="0" wp14:anchorId="4153F2CA" wp14:editId="1DB5FDDB">
            <wp:extent cx="3435410" cy="3136306"/>
            <wp:effectExtent l="0" t="0" r="6350" b="635"/>
            <wp:docPr id="5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36" cy="328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AD5C9" w14:textId="7D06CB02" w:rsidR="00BC6216" w:rsidRDefault="00BC6216" w:rsidP="00BC6216">
      <w:pPr>
        <w:jc w:val="both"/>
        <w:rPr>
          <w:sz w:val="20"/>
          <w:szCs w:val="20"/>
        </w:rPr>
      </w:pPr>
      <w:r w:rsidRPr="00B24EAB">
        <w:rPr>
          <w:i/>
          <w:iCs/>
          <w:sz w:val="20"/>
          <w:szCs w:val="20"/>
        </w:rPr>
        <w:t>Note.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num_drinks_BTWN = Between-persons number of drinks, HS = High Sensitivity, LS = Low Sensitivity.</w:t>
      </w:r>
    </w:p>
    <w:p w14:paraId="08A6FF1F" w14:textId="0995F140" w:rsidR="0027051F" w:rsidRPr="00B24EAB" w:rsidRDefault="0027051F" w:rsidP="00BC6216">
      <w:pPr>
        <w:jc w:val="both"/>
        <w:rPr>
          <w:sz w:val="20"/>
          <w:szCs w:val="20"/>
        </w:rPr>
      </w:pPr>
      <w:r>
        <w:rPr>
          <w:sz w:val="20"/>
          <w:szCs w:val="20"/>
        </w:rPr>
        <w:t>Rate = Predicted Consequence Count.</w:t>
      </w:r>
    </w:p>
    <w:p w14:paraId="24E78663" w14:textId="77777777" w:rsidR="00BB212F" w:rsidRDefault="00BB212F"/>
    <w:sectPr w:rsidR="00BB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16"/>
    <w:rsid w:val="0027051F"/>
    <w:rsid w:val="00B76457"/>
    <w:rsid w:val="00BB212F"/>
    <w:rsid w:val="00BC6216"/>
    <w:rsid w:val="00D13A39"/>
    <w:rsid w:val="00DA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16E11"/>
  <w15:chartTrackingRefBased/>
  <w15:docId w15:val="{B2870422-BBA3-DA41-A6AF-05D18F61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2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2705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1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Kluever, Silas (MU-Student)</dc:creator>
  <cp:keywords/>
  <dc:description/>
  <cp:lastModifiedBy>Kluever, Silas (MU-Student)</cp:lastModifiedBy>
  <cp:revision>5</cp:revision>
  <dcterms:created xsi:type="dcterms:W3CDTF">2022-07-30T14:53:00Z</dcterms:created>
  <dcterms:modified xsi:type="dcterms:W3CDTF">2022-08-05T14:32:00Z</dcterms:modified>
</cp:coreProperties>
</file>