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5AA0"/>
          <w:sz w:val="52"/>
        </w:rPr>
        <w:t>Conductor Blender Submitter</w:t>
      </w:r>
    </w:p>
    <w:p>
      <w:pPr>
        <w:jc w:val="center"/>
      </w:pPr>
      <w:r>
        <w:rPr>
          <w:color w:val="505050"/>
          <w:sz w:val="26"/>
        </w:rPr>
        <w:t>Complete Reference Guide — All Panels, Fields &amp; Buttons</w:t>
      </w:r>
    </w:p>
    <w:p/>
    <w:p>
      <w:pPr>
        <w:jc w:val="center"/>
      </w:pPr>
      <w:r>
        <w:rPr>
          <w:i/>
          <w:color w:val="646464"/>
          <w:sz w:val="22"/>
        </w:rPr>
        <w:t>For addon development vetting and cross-reference</w:t>
      </w:r>
    </w:p>
    <w:p>
      <w:r>
        <w:br w:type="page"/>
      </w:r>
    </w:p>
    <w:p>
      <w:pPr>
        <w:pStyle w:val="Heading1"/>
        <w:spacing w:before="280" w:after="80"/>
      </w:pPr>
      <w:r>
        <w:t>1. Overview</w:t>
      </w:r>
    </w:p>
    <w:p>
      <w:pPr>
        <w:pBdr>
          <w:bottom w:val="single" w:sz="6" w:space="1" w:color="2E75B6"/>
        </w:pBdr>
        <w:spacing w:before="80" w:after="160"/>
      </w:pPr>
    </w:p>
    <w:p>
      <w:pPr>
        <w:spacing w:after="80"/>
      </w:pPr>
      <w:r>
        <w:rPr>
          <w:b w:val="0"/>
          <w:i w:val="0"/>
        </w:rPr>
        <w:t>Conductor for Blender is an official add-on that allows artists to submit rendering jobs to the Conductor cloud render farm directly from within the Blender UI. The submitter is organised into five main collapsible panels, each controlling a distinct aspect of the job submission:</w:t>
      </w:r>
    </w:p>
    <w:p>
      <w:pPr>
        <w:pStyle w:val="ListBullet"/>
        <w:spacing w:after="40"/>
        <w:ind w:left="432"/>
      </w:pPr>
      <w:r>
        <w:t>Conductor Job — connection, preview, and submission controls</w:t>
      </w:r>
    </w:p>
    <w:p>
      <w:pPr>
        <w:pStyle w:val="ListBullet"/>
        <w:spacing w:after="40"/>
        <w:ind w:left="432"/>
      </w:pPr>
      <w:r>
        <w:t>General Configuration — hardware, software, and project settings</w:t>
      </w:r>
    </w:p>
    <w:p>
      <w:pPr>
        <w:pStyle w:val="ListBullet"/>
        <w:spacing w:after="40"/>
        <w:ind w:left="432"/>
      </w:pPr>
      <w:r>
        <w:t>Render Settings — resolution, camera, and sample overrides</w:t>
      </w:r>
    </w:p>
    <w:p>
      <w:pPr>
        <w:pStyle w:val="ListBullet"/>
        <w:spacing w:after="40"/>
        <w:ind w:left="432"/>
      </w:pPr>
      <w:r>
        <w:t>Frames — chunk size, frame range, and scout frame controls</w:t>
      </w:r>
    </w:p>
    <w:p>
      <w:pPr>
        <w:pStyle w:val="ListBullet"/>
        <w:spacing w:after="40"/>
        <w:ind w:left="432"/>
      </w:pPr>
      <w:r>
        <w:t>Advanced — output folder, extra assets, and environment variables</w:t>
      </w:r>
    </w:p>
    <w:p/>
    <w:p>
      <w:pPr>
        <w:pStyle w:val="Heading1"/>
        <w:spacing w:before="280" w:after="80"/>
      </w:pPr>
      <w:r>
        <w:t>2. Conductor Job Panel</w:t>
      </w:r>
    </w:p>
    <w:p>
      <w:pPr>
        <w:pBdr>
          <w:bottom w:val="single" w:sz="6" w:space="1" w:color="2E75B6"/>
        </w:pBdr>
        <w:spacing w:before="80" w:after="160"/>
      </w:pPr>
    </w:p>
    <w:p>
      <w:pPr>
        <w:spacing w:after="80"/>
      </w:pPr>
      <w:r>
        <w:rPr>
          <w:b w:val="0"/>
          <w:i w:val="0"/>
        </w:rPr>
        <w:t>This is the top-level panel that must be interacted with first. It contains three action buttons that drive the entire workflow.</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AA0"/>
          </w:tcPr>
          <w:p>
            <w:r>
              <w:rPr>
                <w:b/>
                <w:color w:val="FFFFFF"/>
              </w:rPr>
              <w:t>Field / Button</w:t>
            </w:r>
          </w:p>
        </w:tc>
        <w:tc>
          <w:tcPr>
            <w:tcW w:type="dxa" w:w="7920"/>
            <w:shd w:val="clear" w:color="auto" w:fill="1E5AA0"/>
          </w:tcPr>
          <w:p>
            <w:r>
              <w:rPr>
                <w:b/>
                <w:color w:val="FFFFFF"/>
              </w:rPr>
              <w:t>Description</w:t>
            </w:r>
          </w:p>
        </w:tc>
      </w:tr>
      <w:tr>
        <w:tc>
          <w:tcPr>
            <w:tcW w:type="dxa" w:w="2880"/>
            <w:shd w:val="clear" w:color="auto" w:fill="EAF1FB"/>
          </w:tcPr>
          <w:p>
            <w:r>
              <w:rPr>
                <w:b/>
              </w:rPr>
              <w:t>Connect</w:t>
            </w:r>
          </w:p>
        </w:tc>
        <w:tc>
          <w:tcPr>
            <w:tcW w:type="dxa" w:w="7920"/>
            <w:shd w:val="clear" w:color="auto" w:fill="EAF1FB"/>
          </w:tcPr>
          <w:p>
            <w:r>
              <w:t>Initiates a connection to the Conductor servers and retrieves account-specific data: available projects, software packages, and instance types. This MUST be pressed first before any dropdowns (Project, Instance Type, etc.) will populate. If projects change on the server, press again to refresh.</w:t>
            </w:r>
          </w:p>
        </w:tc>
      </w:tr>
      <w:tr>
        <w:tc>
          <w:tcPr>
            <w:tcW w:type="dxa" w:w="2880"/>
          </w:tcPr>
          <w:p>
            <w:r>
              <w:rPr>
                <w:b/>
              </w:rPr>
              <w:t>Preview Script</w:t>
            </w:r>
          </w:p>
        </w:tc>
        <w:tc>
          <w:tcPr>
            <w:tcW w:type="dxa" w:w="7920"/>
          </w:tcPr>
          <w:p>
            <w:r>
              <w:t>Generates and displays a JSON payload representing the full job submission. This script updates dynamically as you change any settings in the submitter. Use this to verify that all settings are correctly captured before submitting. This is also useful for offline/scripted submission workflows.</w:t>
            </w:r>
          </w:p>
        </w:tc>
      </w:tr>
      <w:tr>
        <w:tc>
          <w:tcPr>
            <w:tcW w:type="dxa" w:w="2880"/>
            <w:shd w:val="clear" w:color="auto" w:fill="EAF1FB"/>
          </w:tcPr>
          <w:p>
            <w:r>
              <w:rPr>
                <w:b/>
              </w:rPr>
              <w:t>Submit</w:t>
            </w:r>
          </w:p>
        </w:tc>
        <w:tc>
          <w:tcPr>
            <w:tcW w:type="dxa" w:w="7920"/>
            <w:shd w:val="clear" w:color="auto" w:fill="EAF1FB"/>
          </w:tcPr>
          <w:p>
            <w:r>
              <w:t>Sends the fully configured job to Conductor. All settings and scene assets are packaged and queued in the Conductor rendering environment. The job then appears on the Conductor dashboard for monitoring.</w:t>
            </w:r>
          </w:p>
        </w:tc>
      </w:tr>
    </w:tbl>
    <w:p/>
    <w:p>
      <w:pPr>
        <w:pStyle w:val="Heading1"/>
        <w:spacing w:before="280" w:after="80"/>
      </w:pPr>
      <w:r>
        <w:t>3. General Configuration Panel</w:t>
      </w:r>
    </w:p>
    <w:p>
      <w:pPr>
        <w:pBdr>
          <w:bottom w:val="single" w:sz="6" w:space="1" w:color="2E75B6"/>
        </w:pBdr>
        <w:spacing w:before="80" w:after="160"/>
      </w:pPr>
    </w:p>
    <w:p>
      <w:pPr>
        <w:spacing w:after="80"/>
      </w:pPr>
      <w:r>
        <w:rPr>
          <w:b w:val="0"/>
          <w:i w:val="0"/>
        </w:rPr>
        <w:t>Controls the core job identity, hardware selection, and software version settings.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AA0"/>
          </w:tcPr>
          <w:p>
            <w:r>
              <w:rPr>
                <w:b/>
                <w:color w:val="FFFFFF"/>
              </w:rPr>
              <w:t>Field / Button</w:t>
            </w:r>
          </w:p>
        </w:tc>
        <w:tc>
          <w:tcPr>
            <w:tcW w:type="dxa" w:w="7920"/>
            <w:shd w:val="clear" w:color="auto" w:fill="1E5AA0"/>
          </w:tcPr>
          <w:p>
            <w:r>
              <w:rPr>
                <w:b/>
                <w:color w:val="FFFFFF"/>
              </w:rPr>
              <w:t>Description</w:t>
            </w:r>
          </w:p>
        </w:tc>
      </w:tr>
      <w:tr>
        <w:tc>
          <w:tcPr>
            <w:tcW w:type="dxa" w:w="2880"/>
            <w:shd w:val="clear" w:color="auto" w:fill="EAF1FB"/>
          </w:tcPr>
          <w:p>
            <w:r>
              <w:rPr>
                <w:b/>
              </w:rPr>
              <w:t>Job Title</w:t>
            </w:r>
          </w:p>
        </w:tc>
        <w:tc>
          <w:tcPr>
            <w:tcW w:type="dxa" w:w="7920"/>
            <w:shd w:val="clear" w:color="auto" w:fill="EAF1FB"/>
          </w:tcPr>
          <w:p>
            <w:r>
              <w:t>A human-readable name displayed on the Conductor dashboard. The default title is auto-generated referencing the Blender filename, renderer, and other metadata. Can be freely edited. Useful for identifying jobs at a glance when multiple jobs are queued.</w:t>
            </w:r>
          </w:p>
        </w:tc>
      </w:tr>
      <w:tr>
        <w:tc>
          <w:tcPr>
            <w:tcW w:type="dxa" w:w="2880"/>
          </w:tcPr>
          <w:p>
            <w:r>
              <w:rPr>
                <w:b/>
              </w:rPr>
              <w:t>Project</w:t>
            </w:r>
          </w:p>
        </w:tc>
        <w:tc>
          <w:tcPr>
            <w:tcW w:type="dxa" w:w="7920"/>
          </w:tcPr>
          <w:p>
            <w:r>
              <w:t>Dropdown to select the Conductor project this job belongs to. Populated after pressing Connect. If the list only shows "— Not Connected —", press Connect. If projects were added/removed on the server since connecting, press Connect again to refresh the list.</w:t>
            </w:r>
          </w:p>
        </w:tc>
      </w:tr>
      <w:tr>
        <w:tc>
          <w:tcPr>
            <w:tcW w:type="dxa" w:w="2880"/>
            <w:shd w:val="clear" w:color="auto" w:fill="EAF1FB"/>
          </w:tcPr>
          <w:p>
            <w:r>
              <w:rPr>
                <w:b/>
              </w:rPr>
              <w:t>Instance Type</w:t>
            </w:r>
          </w:p>
        </w:tc>
        <w:tc>
          <w:tcPr>
            <w:tcW w:type="dxa" w:w="7920"/>
            <w:shd w:val="clear" w:color="auto" w:fill="EAF1FB"/>
          </w:tcPr>
          <w:p>
            <w:r>
              <w:t>Selects between GPU-equipped or CPU-only cloud machines. GPU is strongly recommended for Cycles for speed. GPU is REQUIRED for Eevee and Redshift, as those renderers exclusively support GPU operations. Cannot be used with CPU-only instances.</w:t>
            </w:r>
          </w:p>
        </w:tc>
      </w:tr>
      <w:tr>
        <w:tc>
          <w:tcPr>
            <w:tcW w:type="dxa" w:w="2880"/>
          </w:tcPr>
          <w:p>
            <w:r>
              <w:rPr>
                <w:b/>
              </w:rPr>
              <w:t>Machine Type</w:t>
            </w:r>
          </w:p>
        </w:tc>
        <w:tc>
          <w:tcPr>
            <w:tcW w:type="dxa" w:w="7920"/>
          </w:tcPr>
          <w:p>
            <w:r>
              <w:t>Selects the specific hardware configuration. For GPU machines: evaluate number of cores, RAM, GPU model, and GPU VRAM. For CPU machines: evaluate core count and total RAM. Choose based on scene complexity and memory requirements.</w:t>
            </w:r>
          </w:p>
        </w:tc>
      </w:tr>
      <w:tr>
        <w:tc>
          <w:tcPr>
            <w:tcW w:type="dxa" w:w="2880"/>
            <w:shd w:val="clear" w:color="auto" w:fill="EAF1FB"/>
          </w:tcPr>
          <w:p>
            <w:r>
              <w:rPr>
                <w:b/>
              </w:rPr>
              <w:t>Preemptible (checkbox)</w:t>
            </w:r>
          </w:p>
        </w:tc>
        <w:tc>
          <w:tcPr>
            <w:tcW w:type="dxa" w:w="7920"/>
            <w:shd w:val="clear" w:color="auto" w:fill="EAF1FB"/>
          </w:tcPr>
          <w:p>
            <w:r>
              <w:t>Preemptible instances use spare cloud capacity and are significantly cheaper than standard instances. Trade-off: the cloud provider can interrupt (preempt) the task at any time. There is NO checkpointing — if preempted, the task restarts from frame zero on a new instance. Risk increases with longer task duration. The preemptible setting can also be changed on the Conductor dashboard per account.</w:t>
            </w:r>
          </w:p>
        </w:tc>
      </w:tr>
      <w:tr>
        <w:tc>
          <w:tcPr>
            <w:tcW w:type="dxa" w:w="2880"/>
          </w:tcPr>
          <w:p>
            <w:r>
              <w:rPr>
                <w:b/>
              </w:rPr>
              <w:t>Preemptible Retries</w:t>
            </w:r>
          </w:p>
        </w:tc>
        <w:tc>
          <w:tcPr>
            <w:tcW w:type="dxa" w:w="7920"/>
          </w:tcPr>
          <w:p>
            <w:r>
              <w:t>Integer field (visible/relevant only when Preemptible is enabled). Sets how many times a preempted task should automatically retry on a new instance before being marked as failed. Set to 0 to disable automatic retries. The screenshot shows this set to 1.</w:t>
            </w:r>
          </w:p>
        </w:tc>
      </w:tr>
      <w:tr>
        <w:tc>
          <w:tcPr>
            <w:tcW w:type="dxa" w:w="2880"/>
            <w:shd w:val="clear" w:color="auto" w:fill="EAF1FB"/>
          </w:tcPr>
          <w:p>
            <w:r>
              <w:rPr>
                <w:b/>
              </w:rPr>
              <w:t>Blender Version</w:t>
            </w:r>
          </w:p>
        </w:tc>
        <w:tc>
          <w:tcPr>
            <w:tcW w:type="dxa" w:w="7920"/>
            <w:shd w:val="clear" w:color="auto" w:fill="EAF1FB"/>
          </w:tcPr>
          <w:p>
            <w:r>
              <w:t>Dropdown to select which version of Blender runs on the remote render nodes. This can differ from your local Blender version — useful for cross-version testing or farm requirements. IMPORTANT: changing this version updates the available render software options and the available add-ons list accordingly, as package availability is version-dependent.</w:t>
            </w:r>
          </w:p>
        </w:tc>
      </w:tr>
      <w:tr>
        <w:tc>
          <w:tcPr>
            <w:tcW w:type="dxa" w:w="2880"/>
          </w:tcPr>
          <w:p>
            <w:r>
              <w:rPr>
                <w:b/>
              </w:rPr>
              <w:t>Render Software</w:t>
            </w:r>
          </w:p>
        </w:tc>
        <w:tc>
          <w:tcPr>
            <w:tcW w:type="dxa" w:w="7920"/>
          </w:tcPr>
          <w:p>
            <w:r>
              <w:t>Dropdown to choose the rendering engine: Cycles, Eevee, Redshift, etc. For Cycles: GPU strongly recommended. For Eevee and Redshift: GPU is mandatory. Selection here affects which Render Version options appear below.</w:t>
            </w:r>
          </w:p>
        </w:tc>
      </w:tr>
      <w:tr>
        <w:tc>
          <w:tcPr>
            <w:tcW w:type="dxa" w:w="2880"/>
            <w:shd w:val="clear" w:color="auto" w:fill="EAF1FB"/>
          </w:tcPr>
          <w:p>
            <w:r>
              <w:rPr>
                <w:b/>
              </w:rPr>
              <w:t>Render Version</w:t>
            </w:r>
          </w:p>
        </w:tc>
        <w:tc>
          <w:tcPr>
            <w:tcW w:type="dxa" w:w="7920"/>
            <w:shd w:val="clear" w:color="auto" w:fill="EAF1FB"/>
          </w:tcPr>
          <w:p>
            <w:r>
              <w:t>Dropdown to select the specific version of the chosen render software. Note: for Cycles and Eevee, version selection is not applicable as they are bundled with Blender and have no separate version. This field is primarily relevant for third-party renderers like Redshift.</w:t>
            </w:r>
          </w:p>
        </w:tc>
      </w:tr>
    </w:tbl>
    <w:p/>
    <w:p>
      <w:pPr>
        <w:pStyle w:val="Heading1"/>
        <w:spacing w:before="280" w:after="80"/>
      </w:pPr>
      <w:r>
        <w:t>4. Render Settings Panel</w:t>
      </w:r>
    </w:p>
    <w:p>
      <w:pPr>
        <w:pBdr>
          <w:bottom w:val="single" w:sz="6" w:space="1" w:color="2E75B6"/>
        </w:pBdr>
        <w:spacing w:before="80" w:after="160"/>
      </w:pPr>
    </w:p>
    <w:p>
      <w:pPr>
        <w:spacing w:after="80"/>
      </w:pPr>
      <w:r>
        <w:rPr>
          <w:b w:val="0"/>
          <w:i w:val="0"/>
        </w:rPr>
        <w:t>These fields allow you to OVERRIDE render settings for the farm job independently of what is set in your local Blender scene. Changes here do NOT modify your Blender scene file — they are submission-only overrides sent to the remote nodes.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AA0"/>
          </w:tcPr>
          <w:p>
            <w:r>
              <w:rPr>
                <w:b/>
                <w:color w:val="FFFFFF"/>
              </w:rPr>
              <w:t>Field / Button</w:t>
            </w:r>
          </w:p>
        </w:tc>
        <w:tc>
          <w:tcPr>
            <w:tcW w:type="dxa" w:w="7920"/>
            <w:shd w:val="clear" w:color="auto" w:fill="1E5AA0"/>
          </w:tcPr>
          <w:p>
            <w:r>
              <w:rPr>
                <w:b/>
                <w:color w:val="FFFFFF"/>
              </w:rPr>
              <w:t>Description</w:t>
            </w:r>
          </w:p>
        </w:tc>
      </w:tr>
      <w:tr>
        <w:tc>
          <w:tcPr>
            <w:tcW w:type="dxa" w:w="2880"/>
            <w:shd w:val="clear" w:color="auto" w:fill="EAF1FB"/>
          </w:tcPr>
          <w:p>
            <w:r>
              <w:rPr>
                <w:b/>
              </w:rPr>
              <w:t>Resolution X</w:t>
            </w:r>
          </w:p>
        </w:tc>
        <w:tc>
          <w:tcPr>
            <w:tcW w:type="dxa" w:w="7920"/>
            <w:shd w:val="clear" w:color="auto" w:fill="EAF1FB"/>
          </w:tcPr>
          <w:p>
            <w:r>
              <w:t>Override the horizontal pixel count for the rendered output. Does not affect the Resolution X in your local Blender scene. To confirm the final resolution being submitted, check the Preview Script.</w:t>
            </w:r>
          </w:p>
        </w:tc>
      </w:tr>
      <w:tr>
        <w:tc>
          <w:tcPr>
            <w:tcW w:type="dxa" w:w="2880"/>
          </w:tcPr>
          <w:p>
            <w:r>
              <w:rPr>
                <w:b/>
              </w:rPr>
              <w:t>Resolution Y</w:t>
            </w:r>
          </w:p>
        </w:tc>
        <w:tc>
          <w:tcPr>
            <w:tcW w:type="dxa" w:w="7920"/>
          </w:tcPr>
          <w:p>
            <w:r>
              <w:t>Override the vertical pixel count for the rendered output. Does not affect the Resolution Y in your local Blender scene.</w:t>
            </w:r>
          </w:p>
        </w:tc>
      </w:tr>
      <w:tr>
        <w:tc>
          <w:tcPr>
            <w:tcW w:type="dxa" w:w="2880"/>
            <w:shd w:val="clear" w:color="auto" w:fill="EAF1FB"/>
          </w:tcPr>
          <w:p>
            <w:r>
              <w:rPr>
                <w:b/>
              </w:rPr>
              <w:t>Resolution Percentage</w:t>
            </w:r>
          </w:p>
        </w:tc>
        <w:tc>
          <w:tcPr>
            <w:tcW w:type="dxa" w:w="7920"/>
            <w:shd w:val="clear" w:color="auto" w:fill="EAF1FB"/>
          </w:tcPr>
          <w:p>
            <w:r>
              <w:t>Override the resolution scale percentage (e.g., 50% renders at half the specified X/Y resolution). Does not affect the local scene percentage. Check Preview Script to confirm the final effective render resolution.</w:t>
            </w:r>
          </w:p>
        </w:tc>
      </w:tr>
      <w:tr>
        <w:tc>
          <w:tcPr>
            <w:tcW w:type="dxa" w:w="2880"/>
          </w:tcPr>
          <w:p>
            <w:r>
              <w:rPr>
                <w:b/>
              </w:rPr>
              <w:t>Camera</w:t>
            </w:r>
          </w:p>
        </w:tc>
        <w:tc>
          <w:tcPr>
            <w:tcW w:type="dxa" w:w="7920"/>
          </w:tcPr>
          <w:p>
            <w:r>
              <w:t>Override which camera is used to render the job. This can differ from the active camera in your Blender scene. Changing this here does NOT alter the active camera in the scene file. Useful for multi-camera shot submissions without scene modifications.</w:t>
            </w:r>
          </w:p>
        </w:tc>
      </w:tr>
      <w:tr>
        <w:tc>
          <w:tcPr>
            <w:tcW w:type="dxa" w:w="2880"/>
            <w:shd w:val="clear" w:color="auto" w:fill="EAF1FB"/>
          </w:tcPr>
          <w:p>
            <w:r>
              <w:rPr>
                <w:b/>
              </w:rPr>
              <w:t>Samples</w:t>
            </w:r>
          </w:p>
        </w:tc>
        <w:tc>
          <w:tcPr>
            <w:tcW w:type="dxa" w:w="7920"/>
            <w:shd w:val="clear" w:color="auto" w:fill="EAF1FB"/>
          </w:tcPr>
          <w:p>
            <w:r>
              <w:t>Override the number of render samples per pixel for the submitted job. Higher samples improve quality but increase render time. Overriding here does not change the sample count in your local scene. For high sample counts with Cycles, GPU instances are strongly recommended for performance.</w:t>
            </w:r>
          </w:p>
        </w:tc>
      </w:tr>
    </w:tbl>
    <w:p/>
    <w:p>
      <w:pPr>
        <w:pStyle w:val="Heading1"/>
        <w:spacing w:before="280" w:after="80"/>
      </w:pPr>
      <w:r>
        <w:t>5. Frames Panel</w:t>
      </w:r>
    </w:p>
    <w:p>
      <w:pPr>
        <w:pBdr>
          <w:bottom w:val="single" w:sz="6" w:space="1" w:color="2E75B6"/>
        </w:pBdr>
        <w:spacing w:before="80" w:after="160"/>
      </w:pPr>
    </w:p>
    <w:p>
      <w:pPr>
        <w:spacing w:after="80"/>
      </w:pPr>
      <w:r>
        <w:rPr>
          <w:b w:val="0"/>
          <w:i w:val="0"/>
        </w:rPr>
        <w:t>The Frames panel controls how the frame range is divided into tasks and distributed across cloud machines. This is one of the most critical panels for cost and efficiency optimisation.</w:t>
      </w:r>
    </w:p>
    <w:p>
      <w:pPr>
        <w:pStyle w:val="Heading2"/>
        <w:spacing w:before="200" w:after="80"/>
      </w:pPr>
      <w:r>
        <w:t>5.1  Chunk Size</w:t>
      </w:r>
    </w:p>
    <w:p>
      <w:pPr>
        <w:spacing w:after="80"/>
      </w:pPr>
      <w:r>
        <w:rPr>
          <w:b w:val="0"/>
          <w:i w:val="0"/>
        </w:rPr>
        <w:t>An integer field that sets how many frames each cloud task (machine) renders. One chunk = one task = one cloud machine.</w:t>
      </w:r>
    </w:p>
    <w:p>
      <w:pPr>
        <w:spacing w:after="80"/>
      </w:pPr>
      <w:r>
        <w:rPr>
          <w:b/>
          <w:i w:val="0"/>
        </w:rPr>
        <w:t>Guidelines:</w:t>
      </w:r>
    </w:p>
    <w:p>
      <w:pPr>
        <w:pStyle w:val="ListBullet"/>
        <w:spacing w:after="40"/>
        <w:ind w:left="432"/>
      </w:pPr>
      <w:r>
        <w:t>Chunk size 1: Maximum parallelism. Every frame gets its own machine. Ideal when machines are plentiful and render time per frame is long.</w:t>
      </w:r>
    </w:p>
    <w:p>
      <w:pPr>
        <w:pStyle w:val="ListBullet"/>
        <w:spacing w:after="40"/>
        <w:ind w:left="432"/>
      </w:pPr>
      <w:r>
        <w:t>Chunk size 1–5: Recommended for complex/heavy scenes.</w:t>
      </w:r>
    </w:p>
    <w:p>
      <w:pPr>
        <w:pStyle w:val="ListBullet"/>
        <w:spacing w:after="40"/>
        <w:ind w:left="432"/>
      </w:pPr>
      <w:r>
        <w:t>Chunk size 10–20: Recommended for simpler/faster scenes where instance spin-up overhead is proportionally significant.</w:t>
      </w:r>
    </w:p>
    <w:p>
      <w:pPr>
        <w:pStyle w:val="ListBullet"/>
        <w:spacing w:after="40"/>
        <w:ind w:left="432"/>
      </w:pPr>
      <w:r>
        <w:t>Important: Each cloud machine executes its entire chunk — there is no partial execution of a chunk.</w:t>
      </w:r>
    </w:p>
    <w:p>
      <w:pPr>
        <w:pStyle w:val="Heading2"/>
        <w:spacing w:before="200" w:after="80"/>
      </w:pPr>
      <w:r>
        <w:t>5.2  Use Custom Range (checkbox)</w:t>
      </w:r>
    </w:p>
    <w:p>
      <w:pPr>
        <w:spacing w:after="80"/>
      </w:pPr>
      <w:r>
        <w:rPr>
          <w:b w:val="0"/>
          <w:i w:val="0"/>
        </w:rPr>
        <w:t>When enabled, unlocks the Custom Range field and overrides the frame range defined in the Blender scene settings. When disabled, the scene's own frame range is used.</w:t>
      </w:r>
    </w:p>
    <w:p>
      <w:pPr>
        <w:pStyle w:val="Heading2"/>
        <w:spacing w:before="200" w:after="80"/>
      </w:pPr>
      <w:r>
        <w:t>5.3  Custom Range</w:t>
      </w:r>
    </w:p>
    <w:p>
      <w:pPr>
        <w:spacing w:after="80"/>
      </w:pPr>
      <w:r>
        <w:rPr>
          <w:b w:val="0"/>
          <w:i w:val="0"/>
        </w:rPr>
        <w:t>A text field for specifying which frames to render. Only active when "Use Custom Range" is checked. Accepts a flexible frame spec syntax:</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AA0"/>
          </w:tcPr>
          <w:p>
            <w:r>
              <w:rPr>
                <w:b/>
                <w:color w:val="FFFFFF"/>
              </w:rPr>
              <w:t>Field / Button</w:t>
            </w:r>
          </w:p>
        </w:tc>
        <w:tc>
          <w:tcPr>
            <w:tcW w:type="dxa" w:w="7920"/>
            <w:shd w:val="clear" w:color="auto" w:fill="1E5AA0"/>
          </w:tcPr>
          <w:p>
            <w:r>
              <w:rPr>
                <w:b/>
                <w:color w:val="FFFFFF"/>
              </w:rPr>
              <w:t>Description</w:t>
            </w:r>
          </w:p>
        </w:tc>
      </w:tr>
      <w:tr>
        <w:tc>
          <w:tcPr>
            <w:tcW w:type="dxa" w:w="2880"/>
            <w:shd w:val="clear" w:color="auto" w:fill="EAF1FB"/>
          </w:tcPr>
          <w:p>
            <w:r>
              <w:rPr>
                <w:b/>
              </w:rPr>
              <w:t>Single frame</w:t>
            </w:r>
          </w:p>
        </w:tc>
        <w:tc>
          <w:tcPr>
            <w:tcW w:type="dxa" w:w="7920"/>
            <w:shd w:val="clear" w:color="auto" w:fill="EAF1FB"/>
          </w:tcPr>
          <w:p>
            <w:r>
              <w:t>e.g.  42</w:t>
            </w:r>
          </w:p>
        </w:tc>
      </w:tr>
      <w:tr>
        <w:tc>
          <w:tcPr>
            <w:tcW w:type="dxa" w:w="2880"/>
          </w:tcPr>
          <w:p>
            <w:r>
              <w:rPr>
                <w:b/>
              </w:rPr>
              <w:t>Simple range</w:t>
            </w:r>
          </w:p>
        </w:tc>
        <w:tc>
          <w:tcPr>
            <w:tcW w:type="dxa" w:w="7920"/>
          </w:tcPr>
          <w:p>
            <w:r>
              <w:t>e.g.  1-100</w:t>
            </w:r>
          </w:p>
        </w:tc>
      </w:tr>
      <w:tr>
        <w:tc>
          <w:tcPr>
            <w:tcW w:type="dxa" w:w="2880"/>
            <w:shd w:val="clear" w:color="auto" w:fill="EAF1FB"/>
          </w:tcPr>
          <w:p>
            <w:r>
              <w:rPr>
                <w:b/>
              </w:rPr>
              <w:t>Range with step</w:t>
            </w:r>
          </w:p>
        </w:tc>
        <w:tc>
          <w:tcPr>
            <w:tcW w:type="dxa" w:w="7920"/>
            <w:shd w:val="clear" w:color="auto" w:fill="EAF1FB"/>
          </w:tcPr>
          <w:p>
            <w:r>
              <w:t>e.g.  1-100x2  (every other frame: 1, 3, 5 ...)</w:t>
            </w:r>
          </w:p>
        </w:tc>
      </w:tr>
      <w:tr>
        <w:tc>
          <w:tcPr>
            <w:tcW w:type="dxa" w:w="2880"/>
          </w:tcPr>
          <w:p>
            <w:r>
              <w:rPr>
                <w:b/>
              </w:rPr>
              <w:t>Comma-separated list</w:t>
            </w:r>
          </w:p>
        </w:tc>
        <w:tc>
          <w:tcPr>
            <w:tcW w:type="dxa" w:w="7920"/>
          </w:tcPr>
          <w:p>
            <w:r>
              <w:t>e.g.  1,7,10-20,30-60x3,1001</w:t>
            </w:r>
          </w:p>
        </w:tc>
      </w:tr>
      <w:tr>
        <w:tc>
          <w:tcPr>
            <w:tcW w:type="dxa" w:w="2880"/>
            <w:shd w:val="clear" w:color="auto" w:fill="EAF1FB"/>
          </w:tcPr>
          <w:p>
            <w:r>
              <w:rPr>
                <w:b/>
              </w:rPr>
              <w:t>Negative ranges</w:t>
            </w:r>
          </w:p>
        </w:tc>
        <w:tc>
          <w:tcPr>
            <w:tcW w:type="dxa" w:w="7920"/>
            <w:shd w:val="clear" w:color="auto" w:fill="EAF1FB"/>
          </w:tcPr>
          <w:p>
            <w:r>
              <w:t>e.g.  -50--10x2,-3-6</w:t>
            </w:r>
          </w:p>
        </w:tc>
      </w:tr>
      <w:tr>
        <w:tc>
          <w:tcPr>
            <w:tcW w:type="dxa" w:w="2880"/>
          </w:tcPr>
          <w:p>
            <w:r>
              <w:rPr>
                <w:b/>
              </w:rPr>
              <w:t>Spaces &amp; trailing commas</w:t>
            </w:r>
          </w:p>
        </w:tc>
        <w:tc>
          <w:tcPr>
            <w:tcW w:type="dxa" w:w="7920"/>
          </w:tcPr>
          <w:p>
            <w:r>
              <w:t>Permitted and ignored</w:t>
            </w:r>
          </w:p>
        </w:tc>
      </w:tr>
      <w:tr>
        <w:tc>
          <w:tcPr>
            <w:tcW w:type="dxa" w:w="2880"/>
            <w:shd w:val="clear" w:color="auto" w:fill="EAF1FB"/>
          </w:tcPr>
          <w:p>
            <w:r>
              <w:rPr>
                <w:b/>
              </w:rPr>
              <w:t>Letters / symbols</w:t>
            </w:r>
          </w:p>
        </w:tc>
        <w:tc>
          <w:tcPr>
            <w:tcW w:type="dxa" w:w="7920"/>
            <w:shd w:val="clear" w:color="auto" w:fill="EAF1FB"/>
          </w:tcPr>
          <w:p>
            <w:r>
              <w:t>NOT permitted</w:t>
            </w:r>
          </w:p>
        </w:tc>
      </w:tr>
    </w:tbl>
    <w:p/>
    <w:p>
      <w:pPr>
        <w:spacing w:after="80"/>
      </w:pPr>
      <w:r>
        <w:rPr>
          <w:b w:val="0"/>
          <w:i w:val="0"/>
        </w:rPr>
        <w:t>The field can be edited manually or auto-filled using an expression. The screenshot shows this set to "1-5".</w:t>
      </w:r>
    </w:p>
    <w:p>
      <w:pPr>
        <w:pStyle w:val="Heading2"/>
        <w:spacing w:before="200" w:after="80"/>
      </w:pPr>
      <w:r>
        <w:t>5.4  Use Scout Frames (checkbox)</w:t>
      </w:r>
    </w:p>
    <w:p>
      <w:pPr>
        <w:spacing w:after="80"/>
      </w:pPr>
      <w:r>
        <w:rPr>
          <w:b w:val="0"/>
          <w:i w:val="0"/>
        </w:rPr>
        <w:t>Activates the Scout Frames feature. When enabled, a subset of frames is rendered FIRST and all remaining tasks are placed in a HOLD state. This allows the artist to review a sample of rendered output for errors, lighting issues, or missing assets before committing the full job. Only after approving the scout frames should the held tasks be released on the Conductor dashboard.</w:t>
      </w:r>
    </w:p>
    <w:p>
      <w:pPr>
        <w:pStyle w:val="Heading2"/>
        <w:spacing w:before="200" w:after="80"/>
      </w:pPr>
      <w:r>
        <w:t>5.5  Scout Frames</w:t>
      </w:r>
    </w:p>
    <w:p>
      <w:pPr>
        <w:spacing w:after="80"/>
      </w:pPr>
      <w:r>
        <w:rPr>
          <w:b w:val="0"/>
          <w:i w:val="0"/>
        </w:rPr>
        <w:t>A text field specifying which frames to scout. Accepts the same frame spec syntax as Custom Range, plus special shorthand expressions: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AA0"/>
          </w:tcPr>
          <w:p>
            <w:r>
              <w:rPr>
                <w:b/>
                <w:color w:val="FFFFFF"/>
              </w:rPr>
              <w:t>Field / Button</w:t>
            </w:r>
          </w:p>
        </w:tc>
        <w:tc>
          <w:tcPr>
            <w:tcW w:type="dxa" w:w="7920"/>
            <w:shd w:val="clear" w:color="auto" w:fill="1E5AA0"/>
          </w:tcPr>
          <w:p>
            <w:r>
              <w:rPr>
                <w:b/>
                <w:color w:val="FFFFFF"/>
              </w:rPr>
              <w:t>Description</w:t>
            </w:r>
          </w:p>
        </w:tc>
      </w:tr>
      <w:tr>
        <w:tc>
          <w:tcPr>
            <w:tcW w:type="dxa" w:w="2880"/>
            <w:shd w:val="clear" w:color="auto" w:fill="EAF1FB"/>
          </w:tcPr>
          <w:p>
            <w:r>
              <w:rPr>
                <w:b/>
              </w:rPr>
              <w:t>fml:3</w:t>
            </w:r>
          </w:p>
        </w:tc>
        <w:tc>
          <w:tcPr>
            <w:tcW w:type="dxa" w:w="7920"/>
            <w:shd w:val="clear" w:color="auto" w:fill="EAF1FB"/>
          </w:tcPr>
          <w:p>
            <w:r>
              <w:t>First, Middle, Last — selects 3 frames at the start, middle, and end of the range. E.g., for range 1–100: renders frames 1, 51, 100.</w:t>
            </w:r>
          </w:p>
        </w:tc>
      </w:tr>
      <w:tr>
        <w:tc>
          <w:tcPr>
            <w:tcW w:type="dxa" w:w="2880"/>
          </w:tcPr>
          <w:p>
            <w:r>
              <w:rPr>
                <w:b/>
              </w:rPr>
              <w:t>auto:3</w:t>
            </w:r>
          </w:p>
        </w:tc>
        <w:tc>
          <w:tcPr>
            <w:tcW w:type="dxa" w:w="7920"/>
          </w:tcPr>
          <w:p>
            <w:r>
              <w:t>Evenly spaced — selects 3 frames distributed evenly. E.g., for range 1–100: renders frames 17, 51, 84.</w:t>
            </w:r>
          </w:p>
        </w:tc>
      </w:tr>
      <w:tr>
        <w:tc>
          <w:tcPr>
            <w:tcW w:type="dxa" w:w="2880"/>
            <w:shd w:val="clear" w:color="auto" w:fill="EAF1FB"/>
          </w:tcPr>
          <w:p>
            <w:r>
              <w:rPr>
                <w:b/>
              </w:rPr>
              <w:t>fml:N</w:t>
            </w:r>
          </w:p>
        </w:tc>
        <w:tc>
          <w:tcPr>
            <w:tcW w:type="dxa" w:w="7920"/>
            <w:shd w:val="clear" w:color="auto" w:fill="EAF1FB"/>
          </w:tcPr>
          <w:p>
            <w:r>
              <w:t>Generalised: N frames at first/middle/last positions.</w:t>
            </w:r>
          </w:p>
        </w:tc>
      </w:tr>
      <w:tr>
        <w:tc>
          <w:tcPr>
            <w:tcW w:type="dxa" w:w="2880"/>
          </w:tcPr>
          <w:p>
            <w:r>
              <w:rPr>
                <w:b/>
              </w:rPr>
              <w:t>auto:N</w:t>
            </w:r>
          </w:p>
        </w:tc>
        <w:tc>
          <w:tcPr>
            <w:tcW w:type="dxa" w:w="7920"/>
          </w:tcPr>
          <w:p>
            <w:r>
              <w:t>Generalised: N evenly spaced frames.</w:t>
            </w:r>
          </w:p>
        </w:tc>
      </w:tr>
      <w:tr>
        <w:tc>
          <w:tcPr>
            <w:tcW w:type="dxa" w:w="2880"/>
            <w:shd w:val="clear" w:color="auto" w:fill="EAF1FB"/>
          </w:tcPr>
          <w:p>
            <w:r>
              <w:rPr>
                <w:b/>
              </w:rPr>
              <w:t>1-100x30</w:t>
            </w:r>
          </w:p>
        </w:tc>
        <w:tc>
          <w:tcPr>
            <w:tcW w:type="dxa" w:w="7920"/>
            <w:shd w:val="clear" w:color="auto" w:fill="EAF1FB"/>
          </w:tcPr>
          <w:p>
            <w:r>
              <w:t>Manual frame spec: every 30th frame from 1 to 100.</w:t>
            </w:r>
          </w:p>
        </w:tc>
      </w:tr>
      <w:tr>
        <w:tc>
          <w:tcPr>
            <w:tcW w:type="dxa" w:w="2880"/>
          </w:tcPr>
          <w:p>
            <w:r>
              <w:rPr>
                <w:b/>
              </w:rPr>
              <w:t>3,8</w:t>
            </w:r>
          </w:p>
        </w:tc>
        <w:tc>
          <w:tcPr>
            <w:tcW w:type="dxa" w:w="7920"/>
          </w:tcPr>
          <w:p>
            <w:r>
              <w:t>Manual list: render frames 3 and 8 as scouts.</w:t>
            </w:r>
          </w:p>
        </w:tc>
      </w:tr>
    </w:tbl>
    <w:p/>
    <w:p>
      <w:pPr>
        <w:spacing w:after="80"/>
      </w:pPr>
      <w:r>
        <w:rPr>
          <w:b w:val="0"/>
          <w:i/>
          <w:color w:val="782828"/>
        </w:rPr>
        <w:t>IMPORTANT INTERACTION WITH CHUNK SIZE: Remote render nodes execute entire tasks (chunks) — they cannot render a partial chunk. If chunk size &gt; 1 and a scout frame falls within a chunk alongside non-scout frames, ALL frames in that chunk are rendered. This can result in more frames being rendered than explicitly listed as scouts. Design your scout frame spec with this in mind, particularly when using large chunk sizes.</w:t>
      </w:r>
    </w:p>
    <w:p>
      <w:pPr>
        <w:pStyle w:val="Heading1"/>
        <w:spacing w:before="280" w:after="80"/>
      </w:pPr>
      <w:r>
        <w:t>6. Frames Info Panel (Read-Only)</w:t>
      </w:r>
    </w:p>
    <w:p>
      <w:pPr>
        <w:pBdr>
          <w:bottom w:val="single" w:sz="6" w:space="1" w:color="2E75B6"/>
        </w:pBdr>
        <w:spacing w:before="80" w:after="160"/>
      </w:pPr>
    </w:p>
    <w:p>
      <w:pPr>
        <w:spacing w:after="80"/>
      </w:pPr>
      <w:r>
        <w:rPr>
          <w:b w:val="0"/>
          <w:i w:val="0"/>
        </w:rPr>
        <w:t>A read-only information panel that resolves and displays the computed result of all Frames settings. All fields update dynamically as you change Chunk Size, Custom Range, or Scout Frames settings. Use this to verify your configuration before submitting.</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AA0"/>
          </w:tcPr>
          <w:p>
            <w:r>
              <w:rPr>
                <w:b/>
                <w:color w:val="FFFFFF"/>
              </w:rPr>
              <w:t>Field / Button</w:t>
            </w:r>
          </w:p>
        </w:tc>
        <w:tc>
          <w:tcPr>
            <w:tcW w:type="dxa" w:w="7920"/>
            <w:shd w:val="clear" w:color="auto" w:fill="1E5AA0"/>
          </w:tcPr>
          <w:p>
            <w:r>
              <w:rPr>
                <w:b/>
                <w:color w:val="FFFFFF"/>
              </w:rPr>
              <w:t>Description</w:t>
            </w:r>
          </w:p>
        </w:tc>
      </w:tr>
      <w:tr>
        <w:tc>
          <w:tcPr>
            <w:tcW w:type="dxa" w:w="2880"/>
            <w:shd w:val="clear" w:color="auto" w:fill="EAF1FB"/>
          </w:tcPr>
          <w:p>
            <w:r>
              <w:rPr>
                <w:b/>
              </w:rPr>
              <w:t>Frame Spec</w:t>
            </w:r>
          </w:p>
        </w:tc>
        <w:tc>
          <w:tcPr>
            <w:tcW w:type="dxa" w:w="7920"/>
            <w:shd w:val="clear" w:color="auto" w:fill="EAF1FB"/>
          </w:tcPr>
          <w:p>
            <w:r>
              <w:t>Displays the fully resolved frame range that will be submitted. Shows the actual list of frames after parsing the Custom Range expression.</w:t>
            </w:r>
          </w:p>
        </w:tc>
      </w:tr>
      <w:tr>
        <w:tc>
          <w:tcPr>
            <w:tcW w:type="dxa" w:w="2880"/>
          </w:tcPr>
          <w:p>
            <w:r>
              <w:rPr>
                <w:b/>
              </w:rPr>
              <w:t>Scout Spec</w:t>
            </w:r>
          </w:p>
        </w:tc>
        <w:tc>
          <w:tcPr>
            <w:tcW w:type="dxa" w:w="7920"/>
          </w:tcPr>
          <w:p>
            <w:r>
              <w:t>Displays the resolved list of scout frames after parsing the Scout Frames expression (e.g., "fml:3" resolves to "1, 51, 100" for a 1–100 range).</w:t>
            </w:r>
          </w:p>
        </w:tc>
      </w:tr>
      <w:tr>
        <w:tc>
          <w:tcPr>
            <w:tcW w:type="dxa" w:w="2880"/>
            <w:shd w:val="clear" w:color="auto" w:fill="EAF1FB"/>
          </w:tcPr>
          <w:p>
            <w:r>
              <w:rPr>
                <w:b/>
              </w:rPr>
              <w:t>Frame Count</w:t>
            </w:r>
          </w:p>
        </w:tc>
        <w:tc>
          <w:tcPr>
            <w:tcW w:type="dxa" w:w="7920"/>
            <w:shd w:val="clear" w:color="auto" w:fill="EAF1FB"/>
          </w:tcPr>
          <w:p>
            <w:r>
              <w:t>Total number of individual frames to be rendered across the entire job.</w:t>
            </w:r>
          </w:p>
        </w:tc>
      </w:tr>
      <w:tr>
        <w:tc>
          <w:tcPr>
            <w:tcW w:type="dxa" w:w="2880"/>
          </w:tcPr>
          <w:p>
            <w:r>
              <w:rPr>
                <w:b/>
              </w:rPr>
              <w:t>Task Count</w:t>
            </w:r>
          </w:p>
        </w:tc>
        <w:tc>
          <w:tcPr>
            <w:tcW w:type="dxa" w:w="7920"/>
          </w:tcPr>
          <w:p>
            <w:r>
              <w:t>Total number of cloud tasks (machines) that will be created. Example: 100 frames with chunk size 2 = 50 tasks. This directly reflects your cost and parallelism level.</w:t>
            </w:r>
          </w:p>
        </w:tc>
      </w:tr>
      <w:tr>
        <w:tc>
          <w:tcPr>
            <w:tcW w:type="dxa" w:w="2880"/>
            <w:shd w:val="clear" w:color="auto" w:fill="EAF1FB"/>
          </w:tcPr>
          <w:p>
            <w:r>
              <w:rPr>
                <w:b/>
              </w:rPr>
              <w:t>Scout Frame Count</w:t>
            </w:r>
          </w:p>
        </w:tc>
        <w:tc>
          <w:tcPr>
            <w:tcW w:type="dxa" w:w="7920"/>
            <w:shd w:val="clear" w:color="auto" w:fill="EAF1FB"/>
          </w:tcPr>
          <w:p>
            <w:r>
              <w:t>The number of frames that will be rendered in the scout phase. Note: if chunk size &gt; 1, this count may be higher than the number of explicitly specified scout frames, because entire chunks are executed.</w:t>
            </w:r>
          </w:p>
        </w:tc>
      </w:tr>
      <w:tr>
        <w:tc>
          <w:tcPr>
            <w:tcW w:type="dxa" w:w="2880"/>
          </w:tcPr>
          <w:p>
            <w:r>
              <w:rPr>
                <w:b/>
              </w:rPr>
              <w:t>Scout Task Count</w:t>
            </w:r>
          </w:p>
        </w:tc>
        <w:tc>
          <w:tcPr>
            <w:tcW w:type="dxa" w:w="7920"/>
          </w:tcPr>
          <w:p>
            <w:r>
              <w:t>The number of tasks that contain at least one scout frame and will therefore start immediately. All other tasks will be placed on hold.</w:t>
            </w:r>
          </w:p>
        </w:tc>
      </w:tr>
    </w:tbl>
    <w:p/>
    <w:p>
      <w:pPr>
        <w:pStyle w:val="Heading1"/>
        <w:spacing w:before="280" w:after="80"/>
      </w:pPr>
      <w:r>
        <w:t>7. Add-ons Panel</w:t>
      </w:r>
    </w:p>
    <w:p>
      <w:pPr>
        <w:pBdr>
          <w:bottom w:val="single" w:sz="6" w:space="1" w:color="2E75B6"/>
        </w:pBdr>
        <w:spacing w:before="80" w:after="160"/>
      </w:pPr>
    </w:p>
    <w:p>
      <w:pPr>
        <w:spacing w:after="80"/>
      </w:pPr>
      <w:r>
        <w:rPr>
          <w:b w:val="0"/>
          <w:i w:val="0"/>
        </w:rPr>
        <w:t>A list of available Blender add-ons that can be enabled on the remote render nodes alongside your job. This ensures that any Blender add-ons required by your scene (e.g., custom geometry nodes, procedural systems, or render extensions) are present on the farm machines.</w:t>
      </w:r>
    </w:p>
    <w:p>
      <w:pPr>
        <w:spacing w:after="80"/>
      </w:pPr>
      <w:r>
        <w:rPr>
          <w:b/>
          <w:i w:val="0"/>
        </w:rPr>
        <w:t>Key behaviours:</w:t>
      </w:r>
    </w:p>
    <w:p>
      <w:pPr>
        <w:pStyle w:val="ListBullet"/>
        <w:spacing w:after="40"/>
        <w:ind w:left="432"/>
      </w:pPr>
      <w:r>
        <w:t>The available add-ons list is tied to the selected Blender Version — changing Blender Version will update this list.</w:t>
      </w:r>
    </w:p>
    <w:p>
      <w:pPr>
        <w:pStyle w:val="ListBullet"/>
        <w:spacing w:after="40"/>
        <w:ind w:left="432"/>
      </w:pPr>
      <w:r>
        <w:t>Each add-on may have its own version dropdown to select a specific compatible version.</w:t>
      </w:r>
    </w:p>
    <w:p>
      <w:pPr>
        <w:pStyle w:val="ListBullet"/>
        <w:spacing w:after="40"/>
        <w:ind w:left="432"/>
      </w:pPr>
      <w:r>
        <w:t>Only add-ons officially supported and packaged by Conductor are available here.</w:t>
      </w:r>
    </w:p>
    <w:p>
      <w:pPr>
        <w:pStyle w:val="ListBullet"/>
        <w:spacing w:after="40"/>
        <w:ind w:left="432"/>
      </w:pPr>
      <w:r>
        <w:t>Add-ons not in this list must be handled via the Extra Assets section in Advanced settings.</w:t>
      </w:r>
    </w:p>
    <w:p>
      <w:pPr>
        <w:pStyle w:val="Heading1"/>
        <w:spacing w:before="280" w:after="80"/>
      </w:pPr>
      <w:r>
        <w:t>8. Advanced Panel</w:t>
      </w:r>
    </w:p>
    <w:p>
      <w:pPr>
        <w:pBdr>
          <w:bottom w:val="single" w:sz="6" w:space="1" w:color="2E75B6"/>
        </w:pBdr>
        <w:spacing w:before="80" w:after="160"/>
      </w:pPr>
    </w:p>
    <w:p>
      <w:pPr>
        <w:spacing w:after="80"/>
      </w:pPr>
      <w:r>
        <w:rPr>
          <w:b w:val="0"/>
          <w:i w:val="0"/>
        </w:rPr>
        <w:t>Contains power-user controls for output destinations, manual asset inclusion, and environment variable configuration.</w:t>
      </w:r>
    </w:p>
    <w:p>
      <w:pPr>
        <w:pStyle w:val="Heading2"/>
        <w:spacing w:before="200" w:after="80"/>
      </w:pPr>
      <w:r>
        <w:t>8.1  Output Folder</w:t>
      </w:r>
    </w:p>
    <w:p>
      <w:pPr>
        <w:spacing w:after="80"/>
      </w:pPr>
      <w:r>
        <w:rPr>
          <w:b w:val="0"/>
          <w:i w:val="0"/>
        </w:rPr>
        <w:t>Specifies the destination directory where rendered images will be downloaded after the job completes. This is the path on the cloud render nodes where output is written.</w:t>
      </w:r>
    </w:p>
    <w:p>
      <w:pPr>
        <w:spacing w:after="80"/>
      </w:pPr>
      <w:r>
        <w:rPr>
          <w:b w:val="0"/>
          <w:i/>
          <w:color w:val="782828"/>
        </w:rPr>
        <w:t>CRITICAL: This folder and its subfolders must NOT contain any assets used as inputs for the scene. Conductor's render nodes treat the output path as write-only, and mixing input assets into the output directory can cause conflicts or failed uploads.</w:t>
      </w:r>
    </w:p>
    <w:p>
      <w:pPr>
        <w:pStyle w:val="Heading2"/>
        <w:spacing w:before="200" w:after="80"/>
      </w:pPr>
      <w:r>
        <w:t>8.2  Add Extra Asset</w:t>
      </w:r>
    </w:p>
    <w:p>
      <w:pPr>
        <w:spacing w:after="80"/>
      </w:pPr>
      <w:r>
        <w:rPr>
          <w:b w:val="0"/>
          <w:i w:val="0"/>
        </w:rPr>
        <w:t>A file/folder browser that lets you manually include additional files that were not automatically detected by Conductor's asset scanner.</w:t>
      </w:r>
    </w:p>
    <w:p>
      <w:pPr>
        <w:spacing w:after="80"/>
      </w:pPr>
      <w:r>
        <w:rPr>
          <w:b/>
          <w:i w:val="0"/>
        </w:rPr>
        <w:t>Use cases:</w:t>
      </w:r>
    </w:p>
    <w:p>
      <w:pPr>
        <w:pStyle w:val="ListBullet"/>
        <w:spacing w:after="40"/>
        <w:ind w:left="432"/>
      </w:pPr>
      <w:r>
        <w:t>Custom Python scripts or shell scripts used during rendering</w:t>
      </w:r>
    </w:p>
    <w:p>
      <w:pPr>
        <w:pStyle w:val="ListBullet"/>
        <w:spacing w:after="40"/>
        <w:ind w:left="432"/>
      </w:pPr>
      <w:r>
        <w:t>Textures or HDRIs referenced via absolute paths outside the project directory</w:t>
      </w:r>
    </w:p>
    <w:p>
      <w:pPr>
        <w:pStyle w:val="ListBullet"/>
        <w:spacing w:after="40"/>
        <w:ind w:left="432"/>
      </w:pPr>
      <w:r>
        <w:t>Font files, LUTs, or other external dependencies</w:t>
      </w:r>
    </w:p>
    <w:p>
      <w:pPr>
        <w:pStyle w:val="ListBullet"/>
        <w:spacing w:after="40"/>
        <w:ind w:left="432"/>
      </w:pPr>
      <w:r>
        <w:t>Any file that does not appear in the "upload_paths" list in the Preview Script</w:t>
      </w:r>
    </w:p>
    <w:p>
      <w:pPr>
        <w:spacing w:after="80"/>
      </w:pPr>
      <w:r>
        <w:rPr>
          <w:b w:val="0"/>
          <w:i/>
        </w:rPr>
        <w:t>Do NOT use this for assets that are already linked within the Blender scene (e.g., linked libraries, packed textures). Those are handled by the automatic asset scan via the Linked Assets system.</w:t>
      </w:r>
    </w:p>
    <w:p>
      <w:pPr>
        <w:pStyle w:val="Heading2"/>
        <w:spacing w:before="200" w:after="80"/>
      </w:pPr>
      <w:r>
        <w:t>8.3  Add Extra Environment Variables</w:t>
      </w:r>
    </w:p>
    <w:p>
      <w:pPr>
        <w:spacing w:after="80"/>
      </w:pPr>
      <w:r>
        <w:rPr>
          <w:b w:val="0"/>
          <w:i w:val="0"/>
        </w:rPr>
        <w:t>Allows you to define custom key-value environment variables that will be set on the remote render node before the render command executes.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AA0"/>
          </w:tcPr>
          <w:p>
            <w:r>
              <w:rPr>
                <w:b/>
                <w:color w:val="FFFFFF"/>
              </w:rPr>
              <w:t>Field / Button</w:t>
            </w:r>
          </w:p>
        </w:tc>
        <w:tc>
          <w:tcPr>
            <w:tcW w:type="dxa" w:w="7920"/>
            <w:shd w:val="clear" w:color="auto" w:fill="1E5AA0"/>
          </w:tcPr>
          <w:p>
            <w:r>
              <w:rPr>
                <w:b/>
                <w:color w:val="FFFFFF"/>
              </w:rPr>
              <w:t>Description</w:t>
            </w:r>
          </w:p>
        </w:tc>
      </w:tr>
      <w:tr>
        <w:tc>
          <w:tcPr>
            <w:tcW w:type="dxa" w:w="2880"/>
            <w:shd w:val="clear" w:color="auto" w:fill="EAF1FB"/>
          </w:tcPr>
          <w:p>
            <w:r>
              <w:rPr>
                <w:b/>
              </w:rPr>
              <w:t>Key</w:t>
            </w:r>
          </w:p>
        </w:tc>
        <w:tc>
          <w:tcPr>
            <w:tcW w:type="dxa" w:w="7920"/>
            <w:shd w:val="clear" w:color="auto" w:fill="EAF1FB"/>
          </w:tcPr>
          <w:p>
            <w:r>
              <w:t>The environment variable name (e.g., PYTHONPATH, MY_RENDER_FLAG).</w:t>
            </w:r>
          </w:p>
        </w:tc>
      </w:tr>
      <w:tr>
        <w:tc>
          <w:tcPr>
            <w:tcW w:type="dxa" w:w="2880"/>
          </w:tcPr>
          <w:p>
            <w:r>
              <w:rPr>
                <w:b/>
              </w:rPr>
              <w:t>Value</w:t>
            </w:r>
          </w:p>
        </w:tc>
        <w:tc>
          <w:tcPr>
            <w:tcW w:type="dxa" w:w="7920"/>
          </w:tcPr>
          <w:p>
            <w:r>
              <w:t>The value to assign. Can reference existing environment variables.</w:t>
            </w:r>
          </w:p>
        </w:tc>
      </w:tr>
      <w:tr>
        <w:tc>
          <w:tcPr>
            <w:tcW w:type="dxa" w:w="2880"/>
            <w:shd w:val="clear" w:color="auto" w:fill="EAF1FB"/>
          </w:tcPr>
          <w:p>
            <w:r>
              <w:rPr>
                <w:b/>
              </w:rPr>
              <w:t>Exclusive mode</w:t>
            </w:r>
          </w:p>
        </w:tc>
        <w:tc>
          <w:tcPr>
            <w:tcW w:type="dxa" w:w="7920"/>
            <w:shd w:val="clear" w:color="auto" w:fill="EAF1FB"/>
          </w:tcPr>
          <w:p>
            <w:r>
              <w:t>Replaces any existing value for this variable on the render node.</w:t>
            </w:r>
          </w:p>
        </w:tc>
      </w:tr>
      <w:tr>
        <w:tc>
          <w:tcPr>
            <w:tcW w:type="dxa" w:w="2880"/>
          </w:tcPr>
          <w:p>
            <w:r>
              <w:rPr>
                <w:b/>
              </w:rPr>
              <w:t>Appendable mode</w:t>
            </w:r>
          </w:p>
        </w:tc>
        <w:tc>
          <w:tcPr>
            <w:tcW w:type="dxa" w:w="7920"/>
          </w:tcPr>
          <w:p>
            <w:r>
              <w:t>Appends the new value to the existing variable value (e.g., appending to PATH).</w:t>
            </w:r>
          </w:p>
        </w:tc>
      </w:tr>
    </w:tbl>
    <w:p/>
    <w:p>
      <w:pPr>
        <w:spacing w:after="80"/>
      </w:pPr>
      <w:r>
        <w:rPr>
          <w:b w:val="0"/>
          <w:i/>
        </w:rPr>
        <w:t>Windows submission note: When configuring paths for Windows submissions, exclude the drive letter from the script path in the environment variable value (e.g., use /MyScripts/run.py instead of C:/MyScripts/run.py). Custom scripts referenced in env vars must also be added via Extra Assets.</w:t>
      </w:r>
    </w:p>
    <w:p>
      <w:pPr>
        <w:pStyle w:val="Heading1"/>
        <w:spacing w:before="280" w:after="80"/>
      </w:pPr>
      <w:r>
        <w:t>9. Additional Rendering Options</w:t>
      </w:r>
    </w:p>
    <w:p>
      <w:pPr>
        <w:pBdr>
          <w:bottom w:val="single" w:sz="6" w:space="1" w:color="2E75B6"/>
        </w:pBdr>
        <w:spacing w:before="80" w:after="160"/>
      </w:pPr>
    </w:p>
    <w:p>
      <w:pPr>
        <w:spacing w:after="80"/>
      </w:pPr>
      <w:r>
        <w:rPr>
          <w:b w:val="0"/>
          <w:i w:val="0"/>
        </w:rPr>
        <w:t>A set of advanced toggles for fine-grained control over Blender's runtime behaviour on the render nodes.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AA0"/>
          </w:tcPr>
          <w:p>
            <w:r>
              <w:rPr>
                <w:b/>
                <w:color w:val="FFFFFF"/>
              </w:rPr>
              <w:t>Field / Button</w:t>
            </w:r>
          </w:p>
        </w:tc>
        <w:tc>
          <w:tcPr>
            <w:tcW w:type="dxa" w:w="7920"/>
            <w:shd w:val="clear" w:color="auto" w:fill="1E5AA0"/>
          </w:tcPr>
          <w:p>
            <w:r>
              <w:rPr>
                <w:b/>
                <w:color w:val="FFFFFF"/>
              </w:rPr>
              <w:t>Description</w:t>
            </w:r>
          </w:p>
        </w:tc>
      </w:tr>
      <w:tr>
        <w:tc>
          <w:tcPr>
            <w:tcW w:type="dxa" w:w="2880"/>
            <w:shd w:val="clear" w:color="auto" w:fill="EAF1FB"/>
          </w:tcPr>
          <w:p>
            <w:r>
              <w:rPr>
                <w:b/>
              </w:rPr>
              <w:t>Disable Audio</w:t>
            </w:r>
          </w:p>
        </w:tc>
        <w:tc>
          <w:tcPr>
            <w:tcW w:type="dxa" w:w="7920"/>
            <w:shd w:val="clear" w:color="auto" w:fill="EAF1FB"/>
          </w:tcPr>
          <w:p>
            <w:r>
              <w:t>Forces Blender's sound system to "None" on the render node, disabling all audio processing. Recommended for pure rendering jobs where audio is not needed, as it avoids potential audio driver issues on headless cloud servers.</w:t>
            </w:r>
          </w:p>
        </w:tc>
      </w:tr>
    </w:tbl>
    <w:p/>
    <w:p>
      <w:pPr>
        <w:pStyle w:val="Heading1"/>
        <w:spacing w:before="280" w:after="80"/>
      </w:pPr>
      <w:r>
        <w:t>10. Recommended Submission Workflow</w:t>
      </w:r>
    </w:p>
    <w:p>
      <w:pPr>
        <w:pBdr>
          <w:bottom w:val="single" w:sz="6" w:space="1" w:color="2E75B6"/>
        </w:pBdr>
        <w:spacing w:before="80" w:after="160"/>
      </w:pPr>
    </w:p>
    <w:p>
      <w:pPr>
        <w:spacing w:after="80"/>
      </w:pPr>
      <w:r>
        <w:rPr>
          <w:b w:val="0"/>
          <w:i w:val="0"/>
        </w:rPr>
        <w:t>Follow these steps in order for a clean submission: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E5AA0"/>
          </w:tcPr>
          <w:p>
            <w:r>
              <w:rPr>
                <w:b/>
                <w:color w:val="FFFFFF"/>
              </w:rPr>
              <w:t>Step</w:t>
            </w:r>
          </w:p>
        </w:tc>
        <w:tc>
          <w:tcPr>
            <w:tcW w:type="dxa" w:w="4680"/>
            <w:shd w:val="clear" w:color="auto" w:fill="1E5AA0"/>
          </w:tcPr>
          <w:p>
            <w:r>
              <w:rPr>
                <w:b/>
                <w:color w:val="FFFFFF"/>
              </w:rPr>
              <w:t>Action</w:t>
            </w:r>
          </w:p>
        </w:tc>
      </w:tr>
      <w:tr>
        <w:tc>
          <w:tcPr>
            <w:tcW w:type="dxa" w:w="3168"/>
            <w:shd w:val="clear" w:color="auto" w:fill="EAF1FB"/>
          </w:tcPr>
          <w:p>
            <w:r>
              <w:rPr>
                <w:b/>
              </w:rPr>
              <w:t>1. Open Submitter Panel</w:t>
            </w:r>
          </w:p>
        </w:tc>
        <w:tc>
          <w:tcPr>
            <w:tcW w:type="dxa" w:w="7632"/>
            <w:shd w:val="clear" w:color="auto" w:fill="EAF1FB"/>
          </w:tcPr>
          <w:p>
            <w:r>
              <w:t>Access the Conductor submitter in the Blender N-panel or Properties panel.</w:t>
            </w:r>
          </w:p>
        </w:tc>
      </w:tr>
      <w:tr>
        <w:tc>
          <w:tcPr>
            <w:tcW w:type="dxa" w:w="3168"/>
          </w:tcPr>
          <w:p>
            <w:r>
              <w:rPr>
                <w:b/>
              </w:rPr>
              <w:t>2. Press Connect</w:t>
            </w:r>
          </w:p>
        </w:tc>
        <w:tc>
          <w:tcPr>
            <w:tcW w:type="dxa" w:w="7632"/>
          </w:tcPr>
          <w:p>
            <w:r>
              <w:t>Authenticate and fetch your account data. Wait for dropdowns to populate.</w:t>
            </w:r>
          </w:p>
        </w:tc>
      </w:tr>
      <w:tr>
        <w:tc>
          <w:tcPr>
            <w:tcW w:type="dxa" w:w="3168"/>
            <w:shd w:val="clear" w:color="auto" w:fill="EAF1FB"/>
          </w:tcPr>
          <w:p>
            <w:r>
              <w:rPr>
                <w:b/>
              </w:rPr>
              <w:t>3. Set General Config</w:t>
            </w:r>
          </w:p>
        </w:tc>
        <w:tc>
          <w:tcPr>
            <w:tcW w:type="dxa" w:w="7632"/>
            <w:shd w:val="clear" w:color="auto" w:fill="EAF1FB"/>
          </w:tcPr>
          <w:p>
            <w:r>
              <w:t>Select Project, Instance Type, Machine Type, Blender Version, and Render Software.</w:t>
            </w:r>
          </w:p>
        </w:tc>
      </w:tr>
      <w:tr>
        <w:tc>
          <w:tcPr>
            <w:tcW w:type="dxa" w:w="3168"/>
          </w:tcPr>
          <w:p>
            <w:r>
              <w:rPr>
                <w:b/>
              </w:rPr>
              <w:t>4. Configure Render Settings</w:t>
            </w:r>
          </w:p>
        </w:tc>
        <w:tc>
          <w:tcPr>
            <w:tcW w:type="dxa" w:w="7632"/>
          </w:tcPr>
          <w:p>
            <w:r>
              <w:t>Override Resolution, Camera, or Samples only if needed for this job.</w:t>
            </w:r>
          </w:p>
        </w:tc>
      </w:tr>
      <w:tr>
        <w:tc>
          <w:tcPr>
            <w:tcW w:type="dxa" w:w="3168"/>
            <w:shd w:val="clear" w:color="auto" w:fill="EAF1FB"/>
          </w:tcPr>
          <w:p>
            <w:r>
              <w:rPr>
                <w:b/>
              </w:rPr>
              <w:t>5. Set Frame Range</w:t>
            </w:r>
          </w:p>
        </w:tc>
        <w:tc>
          <w:tcPr>
            <w:tcW w:type="dxa" w:w="7632"/>
            <w:shd w:val="clear" w:color="auto" w:fill="EAF1FB"/>
          </w:tcPr>
          <w:p>
            <w:r>
              <w:t>Enable Use Custom Range if needed. Set Chunk Size appropriate to scene complexity.</w:t>
            </w:r>
          </w:p>
        </w:tc>
      </w:tr>
      <w:tr>
        <w:tc>
          <w:tcPr>
            <w:tcW w:type="dxa" w:w="3168"/>
          </w:tcPr>
          <w:p>
            <w:r>
              <w:rPr>
                <w:b/>
              </w:rPr>
              <w:t>6. Configure Scout Frames</w:t>
            </w:r>
          </w:p>
        </w:tc>
        <w:tc>
          <w:tcPr>
            <w:tcW w:type="dxa" w:w="7632"/>
          </w:tcPr>
          <w:p>
            <w:r>
              <w:t>Enable Use Scout Frames. Set "fml:3" or "auto:3" for a quick preview sample.</w:t>
            </w:r>
          </w:p>
        </w:tc>
      </w:tr>
      <w:tr>
        <w:tc>
          <w:tcPr>
            <w:tcW w:type="dxa" w:w="3168"/>
            <w:shd w:val="clear" w:color="auto" w:fill="EAF1FB"/>
          </w:tcPr>
          <w:p>
            <w:r>
              <w:rPr>
                <w:b/>
              </w:rPr>
              <w:t>7. Check Frames Info</w:t>
            </w:r>
          </w:p>
        </w:tc>
        <w:tc>
          <w:tcPr>
            <w:tcW w:type="dxa" w:w="7632"/>
            <w:shd w:val="clear" w:color="auto" w:fill="EAF1FB"/>
          </w:tcPr>
          <w:p>
            <w:r>
              <w:t>Verify Frame Count, Task Count, Scout Frame Count, and Scout Task Count.</w:t>
            </w:r>
          </w:p>
        </w:tc>
      </w:tr>
      <w:tr>
        <w:tc>
          <w:tcPr>
            <w:tcW w:type="dxa" w:w="3168"/>
          </w:tcPr>
          <w:p>
            <w:r>
              <w:rPr>
                <w:b/>
              </w:rPr>
              <w:t>8. Select Add-ons</w:t>
            </w:r>
          </w:p>
        </w:tc>
        <w:tc>
          <w:tcPr>
            <w:tcW w:type="dxa" w:w="7632"/>
          </w:tcPr>
          <w:p>
            <w:r>
              <w:t>Enable any Blender add-ons your scene depends on.</w:t>
            </w:r>
          </w:p>
        </w:tc>
      </w:tr>
      <w:tr>
        <w:tc>
          <w:tcPr>
            <w:tcW w:type="dxa" w:w="3168"/>
            <w:shd w:val="clear" w:color="auto" w:fill="EAF1FB"/>
          </w:tcPr>
          <w:p>
            <w:r>
              <w:rPr>
                <w:b/>
              </w:rPr>
              <w:t>9. Advanced Settings</w:t>
            </w:r>
          </w:p>
        </w:tc>
        <w:tc>
          <w:tcPr>
            <w:tcW w:type="dxa" w:w="7632"/>
            <w:shd w:val="clear" w:color="auto" w:fill="EAF1FB"/>
          </w:tcPr>
          <w:p>
            <w:r>
              <w:t>Add any extra assets or environment variables needed by the scene.</w:t>
            </w:r>
          </w:p>
        </w:tc>
      </w:tr>
      <w:tr>
        <w:tc>
          <w:tcPr>
            <w:tcW w:type="dxa" w:w="3168"/>
          </w:tcPr>
          <w:p>
            <w:r>
              <w:rPr>
                <w:b/>
              </w:rPr>
              <w:t>10. Preview Script</w:t>
            </w:r>
          </w:p>
        </w:tc>
        <w:tc>
          <w:tcPr>
            <w:tcW w:type="dxa" w:w="7632"/>
          </w:tcPr>
          <w:p>
            <w:r>
              <w:t>Click Preview Script and inspect the JSON payload. Verify all upload_paths are correct.</w:t>
            </w:r>
          </w:p>
        </w:tc>
      </w:tr>
      <w:tr>
        <w:tc>
          <w:tcPr>
            <w:tcW w:type="dxa" w:w="3168"/>
            <w:shd w:val="clear" w:color="auto" w:fill="EAF1FB"/>
          </w:tcPr>
          <w:p>
            <w:r>
              <w:rPr>
                <w:b/>
              </w:rPr>
              <w:t>11. Submit</w:t>
            </w:r>
          </w:p>
        </w:tc>
        <w:tc>
          <w:tcPr>
            <w:tcW w:type="dxa" w:w="7632"/>
            <w:shd w:val="clear" w:color="auto" w:fill="EAF1FB"/>
          </w:tcPr>
          <w:p>
            <w:r>
              <w:t>Press Submit. Monitor the job on the Conductor dashboard. Review scout frames before releasing held tasks.</w:t>
            </w:r>
          </w:p>
        </w:tc>
      </w:tr>
    </w:tbl>
    <w:p/>
    <w:p>
      <w:pPr>
        <w:pStyle w:val="Heading1"/>
        <w:spacing w:before="280" w:after="80"/>
      </w:pPr>
      <w:r>
        <w:t>11. Frame Spec Syntax Quick Reference</w:t>
      </w:r>
    </w:p>
    <w:p>
      <w:pPr>
        <w:pBdr>
          <w:bottom w:val="single" w:sz="6" w:space="1" w:color="2E75B6"/>
        </w:pBdr>
        <w:spacing w:before="80" w:after="16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AA0"/>
          </w:tcPr>
          <w:p>
            <w:r>
              <w:rPr>
                <w:b/>
                <w:color w:val="FFFFFF"/>
              </w:rPr>
              <w:t>Field / Button</w:t>
            </w:r>
          </w:p>
        </w:tc>
        <w:tc>
          <w:tcPr>
            <w:tcW w:type="dxa" w:w="7920"/>
            <w:shd w:val="clear" w:color="auto" w:fill="1E5AA0"/>
          </w:tcPr>
          <w:p>
            <w:r>
              <w:rPr>
                <w:b/>
                <w:color w:val="FFFFFF"/>
              </w:rPr>
              <w:t>Description</w:t>
            </w:r>
          </w:p>
        </w:tc>
      </w:tr>
      <w:tr>
        <w:tc>
          <w:tcPr>
            <w:tcW w:type="dxa" w:w="2880"/>
            <w:shd w:val="clear" w:color="auto" w:fill="EAF1FB"/>
          </w:tcPr>
          <w:p>
            <w:r>
              <w:rPr>
                <w:b/>
              </w:rPr>
              <w:t>1-100</w:t>
            </w:r>
          </w:p>
        </w:tc>
        <w:tc>
          <w:tcPr>
            <w:tcW w:type="dxa" w:w="7920"/>
            <w:shd w:val="clear" w:color="auto" w:fill="EAF1FB"/>
          </w:tcPr>
          <w:p>
            <w:r>
              <w:t>All frames from 1 to 100 inclusive</w:t>
            </w:r>
          </w:p>
        </w:tc>
      </w:tr>
      <w:tr>
        <w:tc>
          <w:tcPr>
            <w:tcW w:type="dxa" w:w="2880"/>
          </w:tcPr>
          <w:p>
            <w:r>
              <w:rPr>
                <w:b/>
              </w:rPr>
              <w:t>1-100x2</w:t>
            </w:r>
          </w:p>
        </w:tc>
        <w:tc>
          <w:tcPr>
            <w:tcW w:type="dxa" w:w="7920"/>
          </w:tcPr>
          <w:p>
            <w:r>
              <w:t>Every 2nd frame: 1, 3, 5 ... 99</w:t>
            </w:r>
          </w:p>
        </w:tc>
      </w:tr>
      <w:tr>
        <w:tc>
          <w:tcPr>
            <w:tcW w:type="dxa" w:w="2880"/>
            <w:shd w:val="clear" w:color="auto" w:fill="EAF1FB"/>
          </w:tcPr>
          <w:p>
            <w:r>
              <w:rPr>
                <w:b/>
              </w:rPr>
              <w:t>1-100x10</w:t>
            </w:r>
          </w:p>
        </w:tc>
        <w:tc>
          <w:tcPr>
            <w:tcW w:type="dxa" w:w="7920"/>
            <w:shd w:val="clear" w:color="auto" w:fill="EAF1FB"/>
          </w:tcPr>
          <w:p>
            <w:r>
              <w:t>Every 10th frame: 1, 11, 21 ... 91</w:t>
            </w:r>
          </w:p>
        </w:tc>
      </w:tr>
      <w:tr>
        <w:tc>
          <w:tcPr>
            <w:tcW w:type="dxa" w:w="2880"/>
          </w:tcPr>
          <w:p>
            <w:r>
              <w:rPr>
                <w:b/>
              </w:rPr>
              <w:t>1,50,100</w:t>
            </w:r>
          </w:p>
        </w:tc>
        <w:tc>
          <w:tcPr>
            <w:tcW w:type="dxa" w:w="7920"/>
          </w:tcPr>
          <w:p>
            <w:r>
              <w:t>Frames 1, 50, and 100 only</w:t>
            </w:r>
          </w:p>
        </w:tc>
      </w:tr>
      <w:tr>
        <w:tc>
          <w:tcPr>
            <w:tcW w:type="dxa" w:w="2880"/>
            <w:shd w:val="clear" w:color="auto" w:fill="EAF1FB"/>
          </w:tcPr>
          <w:p>
            <w:r>
              <w:rPr>
                <w:b/>
              </w:rPr>
              <w:t>1-10,90-100</w:t>
            </w:r>
          </w:p>
        </w:tc>
        <w:tc>
          <w:tcPr>
            <w:tcW w:type="dxa" w:w="7920"/>
            <w:shd w:val="clear" w:color="auto" w:fill="EAF1FB"/>
          </w:tcPr>
          <w:p>
            <w:r>
              <w:t>Frames 1–10 and 90–100</w:t>
            </w:r>
          </w:p>
        </w:tc>
      </w:tr>
      <w:tr>
        <w:tc>
          <w:tcPr>
            <w:tcW w:type="dxa" w:w="2880"/>
          </w:tcPr>
          <w:p>
            <w:r>
              <w:rPr>
                <w:b/>
              </w:rPr>
              <w:t>1,7,10-20,30-60x3,1001</w:t>
            </w:r>
          </w:p>
        </w:tc>
        <w:tc>
          <w:tcPr>
            <w:tcW w:type="dxa" w:w="7920"/>
          </w:tcPr>
          <w:p>
            <w:r>
              <w:t>Mixed list with step</w:t>
            </w:r>
          </w:p>
        </w:tc>
      </w:tr>
      <w:tr>
        <w:tc>
          <w:tcPr>
            <w:tcW w:type="dxa" w:w="2880"/>
            <w:shd w:val="clear" w:color="auto" w:fill="EAF1FB"/>
          </w:tcPr>
          <w:p>
            <w:r>
              <w:rPr>
                <w:b/>
              </w:rPr>
              <w:t>-50--10x2</w:t>
            </w:r>
          </w:p>
        </w:tc>
        <w:tc>
          <w:tcPr>
            <w:tcW w:type="dxa" w:w="7920"/>
            <w:shd w:val="clear" w:color="auto" w:fill="EAF1FB"/>
          </w:tcPr>
          <w:p>
            <w:r>
              <w:t>Negative range: every 2nd frame from -50 to -10</w:t>
            </w:r>
          </w:p>
        </w:tc>
      </w:tr>
      <w:tr>
        <w:tc>
          <w:tcPr>
            <w:tcW w:type="dxa" w:w="2880"/>
          </w:tcPr>
          <w:p>
            <w:r>
              <w:rPr>
                <w:b/>
              </w:rPr>
              <w:t>fml:3</w:t>
            </w:r>
          </w:p>
        </w:tc>
        <w:tc>
          <w:tcPr>
            <w:tcW w:type="dxa" w:w="7920"/>
          </w:tcPr>
          <w:p>
            <w:r>
              <w:t>Scout shorthand: First, Middle, Last (3 frames)</w:t>
            </w:r>
          </w:p>
        </w:tc>
      </w:tr>
      <w:tr>
        <w:tc>
          <w:tcPr>
            <w:tcW w:type="dxa" w:w="2880"/>
            <w:shd w:val="clear" w:color="auto" w:fill="EAF1FB"/>
          </w:tcPr>
          <w:p>
            <w:r>
              <w:rPr>
                <w:b/>
              </w:rPr>
              <w:t>fml:5</w:t>
            </w:r>
          </w:p>
        </w:tc>
        <w:tc>
          <w:tcPr>
            <w:tcW w:type="dxa" w:w="7920"/>
            <w:shd w:val="clear" w:color="auto" w:fill="EAF1FB"/>
          </w:tcPr>
          <w:p>
            <w:r>
              <w:t>Scout shorthand: First, Middle, Last spread across 5 frames</w:t>
            </w:r>
          </w:p>
        </w:tc>
      </w:tr>
      <w:tr>
        <w:tc>
          <w:tcPr>
            <w:tcW w:type="dxa" w:w="2880"/>
          </w:tcPr>
          <w:p>
            <w:r>
              <w:rPr>
                <w:b/>
              </w:rPr>
              <w:t>auto:3</w:t>
            </w:r>
          </w:p>
        </w:tc>
        <w:tc>
          <w:tcPr>
            <w:tcW w:type="dxa" w:w="7920"/>
          </w:tcPr>
          <w:p>
            <w:r>
              <w:t>Scout shorthand: 3 evenly distributed frames</w:t>
            </w:r>
          </w:p>
        </w:tc>
      </w:tr>
      <w:tr>
        <w:tc>
          <w:tcPr>
            <w:tcW w:type="dxa" w:w="2880"/>
            <w:shd w:val="clear" w:color="auto" w:fill="EAF1FB"/>
          </w:tcPr>
          <w:p>
            <w:r>
              <w:rPr>
                <w:b/>
              </w:rPr>
              <w:t>auto:N</w:t>
            </w:r>
          </w:p>
        </w:tc>
        <w:tc>
          <w:tcPr>
            <w:tcW w:type="dxa" w:w="7920"/>
            <w:shd w:val="clear" w:color="auto" w:fill="EAF1FB"/>
          </w:tcPr>
          <w:p>
            <w:r>
              <w:t>Scout shorthand: N evenly distributed frames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5AA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68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232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