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Tolerance</w:t>
      </w:r>
      <w:r>
        <w:t xml:space="preserve"> </w:t>
      </w:r>
      <w:r>
        <w:t xml:space="preserve">Curves</w:t>
      </w:r>
      <w:r>
        <w:br w:type="textWrapping"/>
      </w:r>
      <w:r>
        <w:rPr>
          <w:i/>
        </w:rPr>
        <w:t xml:space="preserve">Lasthenia</w:t>
      </w:r>
      <w:r>
        <w:t xml:space="preserve"> </w:t>
      </w:r>
      <w:r>
        <w:t xml:space="preserve">Habitat</w:t>
      </w:r>
      <w:r>
        <w:br w:type="textWrapping"/>
      </w:r>
      <w:r>
        <w:t xml:space="preserve">Bayesian</w:t>
      </w:r>
      <w:r>
        <w:t xml:space="preserve"> </w:t>
      </w:r>
      <w:r>
        <w:t xml:space="preserve">Modeling</w:t>
      </w:r>
      <w:r>
        <w:t xml:space="preserve"> </w:t>
      </w:r>
      <w:r>
        <w:t xml:space="preserve">and</w:t>
      </w:r>
      <w:r>
        <w:t xml:space="preserve"> </w:t>
      </w:r>
      <w:r>
        <w:t xml:space="preserve">Comparitive</w:t>
      </w:r>
      <w:r>
        <w:t xml:space="preserve"> </w:t>
      </w:r>
      <w:r>
        <w:t xml:space="preserve">Method</w:t>
      </w:r>
      <w:r>
        <w:t xml:space="preserve"> </w:t>
      </w:r>
    </w:p>
    <w:p>
      <w:r>
        <w:t xml:space="preserve">1. University of Colorado, Boulder, Colorado 80309;</w:t>
      </w:r>
    </w:p>
    <w:p>
      <w:r>
        <w:t xml:space="preserve">2. University of BLANK;</w:t>
      </w:r>
    </w:p>
    <w:p>
      <m:oMath>
        <m:r>
          <m:rPr/>
          <m:t>*</m:t>
        </m:r>
      </m:oMath>
      <w:r>
        <w:t xml:space="preserve"> </w:t>
      </w:r>
      <w:r>
        <w:t xml:space="preserve">Corresponding author; e-mail: silas.tittes@colorado.edu.</w:t>
      </w:r>
    </w:p>
    <w:p>
      <w:r>
        <w:rPr>
          <w:i/>
        </w:rPr>
        <w:t xml:space="preserve">Manuscript elements</w:t>
      </w:r>
      <w:r>
        <w:t xml:space="preserve">: Figure 1, figure 2, table 1, online appendices A and B (including figure A1 and figure A2). Figure 2 is to print in color.</w:t>
      </w:r>
    </w:p>
    <w:p>
      <w:r>
        <w:rPr>
          <w:i/>
        </w:rPr>
        <w:t xml:space="preserve">Keywords</w:t>
      </w:r>
      <w:r>
        <w:t xml:space="preserve">: Tolerance curves, Phenotypic Plasticity, Niche, Bayesian.</w:t>
      </w:r>
    </w:p>
    <w:p>
      <w:r>
        <w:rPr>
          <w:i/>
        </w:rPr>
        <w:t xml:space="preserve">Manuscript type</w:t>
      </w:r>
      <w:r>
        <w:t xml:space="preserve">: Article.</w:t>
      </w:r>
    </w:p>
    <w:bookmarkStart w:id="21" w:name="abstract"/>
    <w:p>
      <w:pPr>
        <w:pStyle w:val="Heading1"/>
      </w:pPr>
      <w:r>
        <w:t xml:space="preserve">Abstract</w:t>
      </w:r>
    </w:p>
    <w:bookmarkEnd w:id="21"/>
    <w:bookmarkStart w:id="22" w:name="introduction"/>
    <w:p>
      <w:pPr>
        <w:pStyle w:val="Heading1"/>
      </w:pPr>
      <w:r>
        <w:t xml:space="preserve">Introduction</w:t>
      </w:r>
    </w:p>
    <w:bookmarkEnd w:id="22"/>
    <w:p>
      <w:r>
        <w:t xml:space="preserve">(</w:t>
      </w:r>
      <w:r>
        <w:t xml:space="preserve">)</w:t>
      </w:r>
    </w:p>
    <w:bookmarkStart w:id="23" w:name="methods"/>
    <w:p>
      <w:pPr>
        <w:pStyle w:val="Heading1"/>
      </w:pPr>
      <w:r>
        <w:t xml:space="preserve">Methods</w:t>
      </w:r>
    </w:p>
    <w:bookmarkEnd w:id="23"/>
    <w:bookmarkStart w:id="24" w:name="study-system"/>
    <w:p>
      <w:pPr>
        <w:pStyle w:val="Heading2"/>
      </w:pPr>
      <w:r>
        <w:t xml:space="preserve">study system</w:t>
      </w:r>
    </w:p>
    <w:bookmarkEnd w:id="24"/>
    <w:bookmarkStart w:id="25" w:name="experimental-design"/>
    <w:p>
      <w:pPr>
        <w:pStyle w:val="Heading2"/>
      </w:pPr>
      <w:r>
        <w:t xml:space="preserve">experimental design</w:t>
      </w:r>
    </w:p>
    <w:bookmarkEnd w:id="25"/>
    <w:bookmarkStart w:id="26" w:name="bayesian-modeling-of-tolerance-curves"/>
    <w:p>
      <w:pPr>
        <w:pStyle w:val="Heading2"/>
      </w:pPr>
      <w:r>
        <w:t xml:space="preserve">bayesian modeling of tolerance curves</w:t>
      </w:r>
    </w:p>
    <w:bookmarkEnd w:id="26"/>
    <w:bookmarkStart w:id="27" w:name="phylogeny"/>
    <w:p>
      <w:pPr>
        <w:pStyle w:val="Heading2"/>
      </w:pPr>
      <w:r>
        <w:t xml:space="preserve">phylogeny</w:t>
      </w:r>
    </w:p>
    <w:bookmarkEnd w:id="27"/>
    <w:bookmarkStart w:id="28" w:name="comparitive-analyses"/>
    <w:p>
      <w:pPr>
        <w:pStyle w:val="Heading2"/>
      </w:pPr>
      <w:r>
        <w:t xml:space="preserve">comparitive analyses</w:t>
      </w:r>
    </w:p>
    <w:bookmarkEnd w:id="28"/>
    <w:p>
      <w:r>
        <w:t xml:space="preserve">(fig [Fig:test]).</w:t>
      </w:r>
    </w:p>
    <w:bookmarkStart w:id="29" w:name="results"/>
    <w:p>
      <w:pPr>
        <w:pStyle w:val="Heading1"/>
      </w:pPr>
      <w:r>
        <w:t xml:space="preserve">Results</w:t>
      </w:r>
    </w:p>
    <w:bookmarkEnd w:id="29"/>
    <w:bookmarkStart w:id="30" w:name="discussion"/>
    <w:p>
      <w:pPr>
        <w:pStyle w:val="Heading1"/>
      </w:pPr>
      <w:r>
        <w:t xml:space="preserve">Discussion</w:t>
      </w:r>
    </w:p>
    <w:bookmarkEnd w:id="30"/>
    <w:bookmarkStart w:id="31" w:name="conclusion"/>
    <w:p>
      <w:pPr>
        <w:pStyle w:val="Heading1"/>
      </w:pPr>
      <w:r>
        <w:t xml:space="preserve">Conclusion</w:t>
      </w:r>
    </w:p>
    <w:bookmarkEnd w:id="31"/>
    <w:bookmarkStart w:id="32" w:name="online-appendix-a-supplementary-figures"/>
    <w:p>
      <w:pPr>
        <w:pStyle w:val="Heading1"/>
      </w:pPr>
      <w:r>
        <w:t xml:space="preserve">Online Appendix A: Supplementary Figures</w:t>
      </w:r>
    </w:p>
    <w:bookmarkEnd w:id="32"/>
    <w:bookmarkStart w:id="33" w:name="foxdog-encounters-through-the-ages"/>
    <w:p>
      <w:pPr>
        <w:pStyle w:val="Heading2"/>
      </w:pPr>
      <w:r>
        <w:t xml:space="preserve">Fox–dog encounters through the ages</w:t>
      </w:r>
    </w:p>
    <w:bookmarkEnd w:id="33"/>
    <w:p>
      <w:r>
        <w:t xml:space="preserve">The quick red fox jumps over the lazy brown dog. The quick red fox has always jumped over the lazy brown dog. The quick red fox began jumping over the lazy brown dog in the 19th century and has never ceased from so jumping, as we shall see in</w:t>
      </w:r>
    </w:p>
    <w:p>
      <w:r>
        <w:t xml:space="preserve">[Figure A1 goes here.]</w:t>
      </w:r>
    </w:p>
    <w:p>
      <w:r>
        <w:t xml:space="preserve">[Figure A2 goes here.]</w:t>
      </w:r>
    </w:p>
    <w:bookmarkStart w:id="34" w:name="online-appendix-b-additional-methods"/>
    <w:p>
      <w:pPr>
        <w:pStyle w:val="Heading1"/>
      </w:pPr>
      <w:r>
        <w:t xml:space="preserve">Online Appendix B: Additional Methods</w:t>
      </w:r>
    </w:p>
    <w:bookmarkEnd w:id="34"/>
    <w:bookmarkStart w:id="35" w:name="measuring-the-height-of-fox-jumps-without-a-meterstick"/>
    <w:p>
      <w:pPr>
        <w:pStyle w:val="Heading2"/>
      </w:pPr>
      <w:r>
        <w:t xml:space="preserve">Measuring the height of fox jumps without a meterstick</w:t>
      </w:r>
    </w:p>
    <w:bookmarkEnd w:id="35"/>
    <w:p>
      <w:r>
        <w:t xml:space="preserve">Pellentesque ac nibh placerat, luctus lectus non, elementum mauris. Morbi odio velit, eleifend ut hendrerit vitae, consequat sit amet nulla. Pellentesque porttitor vitae nisl quis tempus. Pellentesque habitant morbi tristique senectus et netus et malesuada fames ac turpis egestas. Praesent ut nisi odio. Vivamus vel lorem gravida odio molestie volutpat condimentum et arcu.</w:t>
      </w:r>
    </w:p>
    <w:p>
      <m:oMathPara>
        <m:oMathParaPr>
          <m:jc m:val="center"/>
        </m:oMathParaPr>
        <m:oMath>
          <m:f>
            <m:fPr>
              <m:type m:val="bar"/>
            </m:fPr>
            <m:num>
              <m:r>
                <m:rPr/>
                <m:t>1</m:t>
              </m:r>
            </m:num>
            <m:den>
              <m:sSub>
                <m:e>
                  <m:r>
                    <m:rPr/>
                    <m:t>N</m:t>
                  </m:r>
                </m:e>
                <m:sub>
                  <m:r>
                    <m:rPr/>
                    <m:t>k</m:t>
                  </m:r>
                </m:sub>
              </m:sSub>
              <m:r>
                <m:rPr/>
                <m:t>−</m:t>
              </m:r>
              <m:r>
                <m:rPr/>
                <m:t>1</m:t>
              </m:r>
            </m:den>
          </m:f>
          <m:nary>
            <m:naryPr>
              <m:chr m:val="∑"/>
              <m:limLoc m:val="undOvr"/>
              <m:supHide m:val="off"/>
              <m:supHide m:val="off"/>
            </m:naryPr>
            <m:e>
              <m:r>
                <m:rPr/>
                <m:t>(</m:t>
              </m:r>
            </m:e>
            <m:sub>
              <m:r>
                <m:rPr/>
                <m:t>t</m:t>
              </m:r>
              <m:r>
                <m:rPr/>
                <m:t>=</m:t>
              </m:r>
              <m:r>
                <m:rPr/>
                <m:t>1</m:t>
              </m:r>
            </m:sub>
            <m:sup>
              <m:sSub>
                <m:e>
                  <m:r>
                    <m:rPr/>
                    <m:t>N</m:t>
                  </m:r>
                </m:e>
                <m:sub>
                  <m:r>
                    <m:rPr/>
                    <m:t>k</m:t>
                  </m:r>
                </m:sub>
              </m:sSub>
            </m:sup>
          </m:nary>
          <m:sSub>
            <m:e>
              <m:r>
                <m:rPr/>
                <m:t>M</m:t>
              </m:r>
            </m:e>
            <m:sub>
              <m:r>
                <m:rPr/>
                <m:t>t</m:t>
              </m:r>
              <m:r>
                <m:rPr/>
                <m:t>j</m:t>
              </m:r>
              <m:r>
                <m:rPr/>
                <m:t>k</m:t>
              </m:r>
            </m:sub>
          </m:sSub>
          <m:r>
            <m:rPr/>
            <m:t>−</m:t>
          </m:r>
          <m:sSub>
            <m:e>
              <m:bar>
                <m:barPr>
                  <m:pos m:val="top"/>
                </m:barPr>
                <m:e>
                  <m:r>
                    <m:rPr/>
                    <m:t>M</m:t>
                  </m:r>
                </m:e>
              </m:bar>
            </m:e>
            <m:sub>
              <m:r>
                <m:rPr/>
                <m:t>j</m:t>
              </m:r>
              <m:r>
                <m:rPr/>
                <m:t>k</m:t>
              </m:r>
            </m:sub>
          </m:sSub>
          <m:sSup>
            <m:e>
              <m:r>
                <m:rPr/>
                <m:t>)</m:t>
              </m:r>
            </m:e>
            <m:sup>
              <m:r>
                <m:rPr/>
                <m:t>2</m:t>
              </m:r>
            </m:sup>
          </m:sSup>
        </m:oMath>
      </m:oMathPara>
    </w:p>
    <w:bookmarkStart w:id="36" w:name="quantifying-the-brownness-of-the-dog"/>
    <w:p>
      <w:pPr>
        <w:pStyle w:val="Heading2"/>
      </w:pPr>
      <w:r>
        <w:t xml:space="preserve">Quantifying the brownness of the dog</w:t>
      </w:r>
    </w:p>
    <w:bookmarkEnd w:id="36"/>
    <w:p>
      <w:r>
        <w:t xml:space="preserve">aliquam porta metus, quis malesuada orci faucibus quis. Suspendisse nunc magna, tristique sit amet sollicitudin nec, elementum et lacus. Sed vitae elementum mi. In hac habitasse platea dictumst. Etiam eu tortor elit. Sed ac tortor purus. Aliquam volutpat, odio sit amet posuere pretium, dolor ex interdum ante, sed luctus quam eros ac nulla.</w:t>
      </w:r>
    </w:p>
    <w:p>
      <m:oMathPara>
        <m:oMathParaPr>
          <m:jc m:val="center"/>
        </m:oMathParaPr>
        <m:oMath>
          <m:r>
            <m:rPr/>
            <m:t>(</m:t>
          </m:r>
          <m:nary>
            <m:naryPr>
              <m:chr m:val="∑"/>
              <m:limLoc m:val="undOvr"/>
              <m:supHide m:val="off"/>
              <m:supHide m:val="off"/>
            </m:naryPr>
            <m:e>
              <m:sSub>
                <m:e>
                  <m:r>
                    <m:rPr/>
                    <m:t>n</m:t>
                  </m:r>
                </m:e>
                <m:sub>
                  <m:r>
                    <m:rPr/>
                    <m:t>s</m:t>
                  </m:r>
                  <m:r>
                    <m:rPr/>
                    <m:t>p</m:t>
                  </m:r>
                </m:sub>
              </m:sSub>
            </m:e>
            <m:sub>
              <m:r>
                <m:rPr/>
                <m:t>p</m:t>
              </m:r>
              <m:r>
                <m:rPr/>
                <m:t>=</m:t>
              </m:r>
              <m:r>
                <m:rPr/>
                <m:t>1</m:t>
              </m:r>
            </m:sub>
            <m:sup>
              <m:r>
                <m:rPr/>
                <m:t>P</m:t>
              </m:r>
            </m:sup>
          </m:nary>
          <m:sSup>
            <m:e>
              <m:r>
                <m:rPr/>
                <m:t>)</m:t>
              </m:r>
            </m:e>
            <m:sup>
              <m:r>
                <m:rPr/>
                <m:t>−</m:t>
              </m:r>
              <m:r>
                <m:rPr/>
                <m:t>1</m:t>
              </m:r>
            </m:sup>
          </m:sSup>
          <m:nary>
            <m:naryPr>
              <m:chr m:val="∑"/>
              <m:limLoc m:val="undOvr"/>
              <m:supHide m:val="off"/>
              <m:supHide m:val="off"/>
            </m:naryPr>
            <m:e>
              <m:sSub>
                <m:e>
                  <m:r>
                    <m:rPr/>
                    <m:t>n</m:t>
                  </m:r>
                </m:e>
                <m:sub>
                  <m:r>
                    <m:rPr/>
                    <m:t>s</m:t>
                  </m:r>
                  <m:r>
                    <m:rPr/>
                    <m:t>p</m:t>
                  </m:r>
                </m:sub>
              </m:sSub>
              <m:sSub>
                <m:e>
                  <m:r>
                    <m:rPr/>
                    <m:t>Q</m:t>
                  </m:r>
                </m:e>
                <m:sub>
                  <m:r>
                    <m:rPr/>
                    <m:t>p</m:t>
                  </m:r>
                </m:sub>
              </m:sSub>
            </m:e>
            <m:sub>
              <m:r>
                <m:rPr/>
                <m:t>p</m:t>
              </m:r>
              <m:r>
                <m:rPr/>
                <m:t>=</m:t>
              </m:r>
              <m:r>
                <m:rPr/>
                <m:t>1</m:t>
              </m:r>
            </m:sub>
            <m:sup>
              <m:r>
                <m:rPr/>
                <m:t>P</m:t>
              </m:r>
            </m:sup>
          </m:nary>
        </m:oMath>
      </m:oMathPara>
    </w:p>
    <w:bookmarkStart w:id="37" w:name="tables"/>
    <w:p>
      <w:pPr>
        <w:pStyle w:val="Heading1"/>
      </w:pPr>
      <w:r>
        <w:t xml:space="preserve">Tables</w:t>
      </w:r>
    </w:p>
    <w:bookmarkEnd w:id="37"/>
    <w:p>
      <w:r>
        <w:t xml:space="preserve">[h] [Table:Okapi]</w:t>
      </w:r>
    </w:p>
    <w:tbl>
      <w:tblPr>
        <w:tblStyle w:val="TableNormal"/>
      </w:tblPr>
      <w:tblGrid/>
      <w:tr>
        <w:tc>
          <w:tcPr>
            <w:tcBorders>
              <w:bottom w:val="single"/>
            </w:tcBorders>
            <w:vAlign w:val="bottom"/>
          </w:tcPr>
          <w:p>
            <w:pPr>
              <w:pStyle w:val="Compact"/>
              <w:jc w:val="left"/>
            </w:pPr>
            <w:r>
              <w:t xml:space="preserve">Animal</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center"/>
            </w:pPr>
            <w:r>
              <w:t xml:space="preserve">Equation</w:t>
            </w:r>
          </w:p>
        </w:tc>
      </w:tr>
      <w:tr>
        <w:tc>
          <w:p>
            <w:pPr>
              <w:pStyle w:val="Compact"/>
              <w:jc w:val="left"/>
            </w:pPr>
            <w:r>
              <w:t xml:space="preserve">Dog</w:t>
            </w:r>
          </w:p>
        </w:tc>
        <w:tc>
          <w:p>
            <w:pPr>
              <w:pStyle w:val="Compact"/>
              <w:jc w:val="left"/>
            </w:pPr>
            <w:r>
              <w:t xml:space="preserve">Springfield</w:t>
            </w:r>
          </w:p>
        </w:tc>
        <w:tc>
          <w:p>
            <w:pPr>
              <w:pStyle w:val="Compact"/>
              <w:jc w:val="center"/>
            </w:pPr>
            <m:oMath>
              <m:r>
                <m:rPr/>
                <m:t>x</m:t>
              </m:r>
              <m:r>
                <m:rPr/>
                <m:t>+</m:t>
              </m:r>
              <m:r>
                <m:rPr/>
                <m:t>y</m:t>
              </m:r>
              <m:r>
                <m:rPr/>
                <m:t>=</m:t>
              </m:r>
              <m:r>
                <m:rPr/>
                <m:t>z</m:t>
              </m:r>
            </m:oMath>
          </w:p>
        </w:tc>
      </w:tr>
      <w:tr>
        <w:tc>
          <w:p>
            <w:pPr>
              <w:pStyle w:val="Compact"/>
              <w:jc w:val="left"/>
            </w:pPr>
            <w:r>
              <w:t xml:space="preserve">Fox</w:t>
            </w:r>
          </w:p>
        </w:tc>
        <w:tc>
          <w:p>
            <w:pPr>
              <w:pStyle w:val="Compact"/>
              <w:jc w:val="left"/>
            </w:pPr>
            <w:r>
              <w:t xml:space="preserve">Indianapolis</w:t>
            </w:r>
          </w:p>
        </w:tc>
        <w:tc>
          <w:p>
            <w:pPr>
              <w:pStyle w:val="Compact"/>
              <w:jc w:val="center"/>
            </w:pPr>
            <m:oMath>
              <m:r>
                <m:rPr/>
                <m:t>2</m:t>
              </m:r>
              <m:r>
                <m:rPr/>
                <m:t>x</m:t>
              </m:r>
              <m:r>
                <m:rPr/>
                <m:t>+</m:t>
              </m:r>
              <m:r>
                <m:rPr/>
                <m:t>2</m:t>
              </m:r>
              <m:r>
                <m:rPr/>
                <m:t>y</m:t>
              </m:r>
              <m:r>
                <m:rPr/>
                <m:t>=</m:t>
              </m:r>
              <m:r>
                <m:rPr/>
                <m:t>2</m:t>
              </m:r>
              <m:r>
                <m:rPr/>
                <m:t>z</m:t>
              </m:r>
            </m:oMath>
          </w:p>
        </w:tc>
      </w:tr>
      <w:tr>
        <w:tc>
          <w:p>
            <w:pPr>
              <w:pStyle w:val="Compact"/>
              <w:jc w:val="left"/>
            </w:pPr>
            <w:r>
              <w:t xml:space="preserve">Okapi</w:t>
            </w:r>
            <m:oMath>
              <m:sSup>
                <m:e>
                  <m:r>
                    <m:rPr/>
                    <m:t/>
                  </m:r>
                </m:e>
                <m:sup>
                  <m:r>
                    <m:rPr/>
                    <m:t>a</m:t>
                  </m:r>
                </m:sup>
              </m:sSup>
            </m:oMath>
          </w:p>
        </w:tc>
        <w:tc>
          <w:p>
            <w:pPr>
              <w:pStyle w:val="Compact"/>
              <w:jc w:val="left"/>
            </w:pPr>
            <w:r>
              <w:t xml:space="preserve">Chicago</w:t>
            </w:r>
          </w:p>
        </w:tc>
        <w:tc>
          <w:p>
            <w:pPr>
              <w:pStyle w:val="Compact"/>
              <w:jc w:val="center"/>
            </w:pPr>
            <m:oMath>
              <m:r>
                <m:rPr/>
                <m:t>x</m:t>
              </m:r>
              <m:r>
                <m:rPr/>
                <m:t>−</m:t>
              </m:r>
              <m:r>
                <m:rPr/>
                <m:t>y</m:t>
              </m:r>
              <m:r>
                <m:rPr/>
                <m:t>&lt;</m:t>
              </m:r>
              <m:r>
                <m:rPr/>
                <m:t>z</m:t>
              </m:r>
            </m:oMath>
          </w:p>
        </w:tc>
      </w:tr>
      <w:tr>
        <w:tc>
          <w:p>
            <w:pPr>
              <w:pStyle w:val="Compact"/>
              <w:jc w:val="left"/>
            </w:pPr>
            <w:r>
              <w:t xml:space="preserve">Badger</w:t>
            </w:r>
          </w:p>
        </w:tc>
        <w:tc>
          <w:p>
            <w:pPr>
              <w:pStyle w:val="Compact"/>
              <w:jc w:val="left"/>
            </w:pPr>
            <w:r>
              <w:t xml:space="preserve">Madison</w:t>
            </w:r>
          </w:p>
        </w:tc>
        <w:tc>
          <w:p>
            <w:pPr>
              <w:pStyle w:val="Compact"/>
              <w:jc w:val="center"/>
            </w:pPr>
            <m:oMath>
              <m:r>
                <m:rPr/>
                <m:t>x</m:t>
              </m:r>
              <m:r>
                <m:rPr/>
                <m:t>+</m:t>
              </m:r>
              <m:r>
                <m:rPr/>
                <m:t>2</m:t>
              </m:r>
              <m:r>
                <m:rPr/>
                <m:t>y</m:t>
              </m:r>
              <m:r>
                <m:rPr/>
                <m:t>&gt;</m:t>
              </m:r>
              <m:r>
                <m:rPr/>
                <m:t>z</m:t>
              </m:r>
            </m:oMath>
          </w:p>
        </w:tc>
      </w:tr>
    </w:tbl>
    <w:p>
      <w:r>
        <w:br w:type="textWrapping"/>
      </w:r>
      <w:r>
        <w:t xml:space="preserve">Note: Table titles should be short. Further details should go in a</w:t>
      </w:r>
      <w:r>
        <w:t xml:space="preserve"> </w:t>
      </w:r>
      <w:r>
        <w:t xml:space="preserve">‘</w:t>
      </w:r>
      <w:r>
        <w:t xml:space="preserve">notes</w:t>
      </w:r>
      <w:r>
        <w:t xml:space="preserve">’</w:t>
      </w:r>
      <w:r>
        <w:t xml:space="preserve"> </w:t>
      </w:r>
      <w:r>
        <w:t xml:space="preserve">area after the tabular environment, as shown here.</w:t>
      </w:r>
      <w:r>
        <w:t xml:space="preserve"> </w:t>
      </w:r>
      <m:oMath>
        <m:sSup>
          <m:e>
            <m:r>
              <m:rPr/>
              <m:t/>
            </m:r>
          </m:e>
          <m:sup>
            <m:r>
              <m:rPr/>
              <m:t>a</m:t>
            </m:r>
          </m:sup>
        </m:sSup>
      </m:oMath>
      <w:r>
        <w:t xml:space="preserve"> </w:t>
      </w:r>
      <w:r>
        <w:t xml:space="preserve">Okapis are not native to Chicago, but they are to be met with in both of the major Chicagoland zoos.</w:t>
      </w:r>
    </w:p>
    <w:bookmarkStart w:id="38" w:name="figure-legends"/>
    <w:p>
      <w:pPr>
        <w:pStyle w:val="Heading1"/>
      </w:pPr>
      <w:r>
        <w:t xml:space="preserve">Figure legends</w:t>
      </w:r>
    </w:p>
    <w:bookmarkEnd w:id="38"/>
    <w:p>
      <w:r>
        <w:t xml:space="preserve">[Fig:test]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9db55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Tolerance Curves Lasthenia Habitat Bayesian Modeling and Comparitive Method </dc:title>
  <dc:creator/>
</cp:coreProperties>
</file>