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独居老人社会支持网络的衰减、韧性与介入时机研究</w:t>
      </w:r>
    </w:p>
    <w:p>
      <w:pPr>
        <w:pStyle w:val="Heading2"/>
      </w:pPr>
      <w:r>
        <w:t>——基于 AgentSociety² 的大规模智能体社会工作政策沙盒</w:t>
      </w:r>
    </w:p>
    <w:p>
      <w:r>
        <w:rPr>
          <w:b/>
        </w:rPr>
        <w:t>参赛方向</w:t>
      </w:r>
      <w:r>
        <w:t>：计算社会学与数字社会方向（兼涉数智公共管理与国家治理方向）</w:t>
      </w:r>
    </w:p>
    <w:p>
      <w:r>
        <w:rPr>
          <w:b/>
        </w:rPr>
        <w:t>研究类型</w:t>
      </w:r>
      <w:r>
        <w:t>：智能体社会模拟 + 反事实干预实验 + 混合方法分析</w:t>
      </w:r>
    </w:p>
    <w:p>
      <w:pPr>
        <w:pStyle w:val="Heading2"/>
      </w:pPr>
      <w:r>
        <w:t>一、研究背景与问题</w:t>
      </w:r>
    </w:p>
    <w:p>
      <w:r>
        <w:t>中国深度老龄化背景下，社会支持网络是独居老人抵御孤立风险的核心资源，但丧偶、邻居搬迁、子女调动等生活事件会持续侵蚀网络，使部分老人滑入深度社会孤立。社会工作实务长期难以回答：网络衰减是否存在"级联崩塌"临界点？哪类老人最脆弱？有限的社工资源应投放在哪个阶段、采用哪种机制？其共同困难在于</w:t>
      </w:r>
      <w:r>
        <w:rPr>
          <w:b/>
        </w:rPr>
        <w:t>现实中无法开展对照实验</w:t>
      </w:r>
      <w:r>
        <w:t>。</w:t>
      </w:r>
    </w:p>
    <w:p>
      <w:r>
        <w:t>本研究基于 AgentSociety² 平台构建虚拟社区，以同一批老人、同一随机种子、仅改变介入安排的反事实实验回答四个问题：</w:t>
      </w:r>
    </w:p>
    <w:p>
      <w:pPr>
        <w:pStyle w:val="ListBullet"/>
      </w:pPr>
      <w:r>
        <w:t>RQ1：关键支持节点（配偶、高频联系子女、核心邻居）流失后，孤立过程是线性的还是级联加速的？</w:t>
      </w:r>
    </w:p>
    <w:p>
      <w:pPr>
        <w:pStyle w:val="ListBullet"/>
      </w:pPr>
      <w:r>
        <w:t>RQ2：不同特征组合（子女距离 × 健康 × 性格外向性）的老人，网络脆弱性能否形成风险预警分型？</w:t>
      </w:r>
    </w:p>
    <w:p>
      <w:pPr>
        <w:pStyle w:val="ListBullet"/>
      </w:pPr>
      <w:r>
        <w:t>RQ3：同一介入在预防期/预警期/危机期注入，效果与成本如何权衡？</w:t>
      </w:r>
    </w:p>
    <w:p>
      <w:pPr>
        <w:pStyle w:val="ListBullet"/>
      </w:pPr>
      <w:r>
        <w:t>RQ4：专业个案管理、时间银行互助、数字平台志愿匹配三种机制，在覆盖率、韧性与撤出后可持续性上有何差异？</w:t>
      </w:r>
    </w:p>
    <w:p>
      <w:pPr>
        <w:pStyle w:val="Heading2"/>
      </w:pPr>
      <w:r>
        <w:t>二、理论基础与假设</w:t>
      </w:r>
    </w:p>
    <w:p>
      <w:r>
        <w:t>理论基础：社会支持理论（House，界定情感性/工具性/信息性支持）、护航模型（Kahn &amp; Antonucci，网络分层与动态调整）、弱连带理论（Granovetter，邻里弱连带的独特作用）、优势视角（时间银行机制的实务依据）。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主要指标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关键节点流失后孤立风险呈级联加速，存在临界窗口</w:t>
            </w:r>
          </w:p>
        </w:tc>
        <w:tc>
          <w:tcPr>
            <w:tcW w:type="dxa" w:w="2880"/>
          </w:tcPr>
          <w:p>
            <w:r>
              <w:t>支持接触轨迹、孤立时间分布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子女远居 × 健康受损 × 内向的老人最快跌入深度孤立</w:t>
            </w:r>
          </w:p>
        </w:tc>
        <w:tc>
          <w:tcPr>
            <w:tcW w:type="dxa" w:w="2880"/>
          </w:tcPr>
          <w:p>
            <w:r>
              <w:t>分型组间孤立比例与达到时间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预警期介入的效果/成本比优于预防期与危机期</w:t>
            </w:r>
          </w:p>
        </w:tc>
        <w:tc>
          <w:tcPr>
            <w:tcW w:type="dxa" w:w="2880"/>
          </w:tcPr>
          <w:p>
            <w:r>
              <w:t>孤立率降幅、人均成本、响应时间</w:t>
            </w:r>
          </w:p>
        </w:tc>
      </w:tr>
      <w:tr>
        <w:tc>
          <w:tcPr>
            <w:tcW w:type="dxa" w:w="2880"/>
          </w:tcPr>
          <w:p>
            <w:r>
              <w:t>H4</w:t>
            </w:r>
          </w:p>
        </w:tc>
        <w:tc>
          <w:tcPr>
            <w:tcW w:type="dxa" w:w="2880"/>
          </w:tcPr>
          <w:p>
            <w:r>
              <w:t>时间银行在介入撤出后效果保持期最长</w:t>
            </w:r>
          </w:p>
        </w:tc>
        <w:tc>
          <w:tcPr>
            <w:tcW w:type="dxa" w:w="2880"/>
          </w:tcPr>
          <w:p>
            <w:r>
              <w:t>撤出后 6 个月孤立率回弹幅度</w:t>
            </w:r>
          </w:p>
        </w:tc>
      </w:tr>
    </w:tbl>
    <w:p/>
    <w:p>
      <w:pPr>
        <w:pStyle w:val="Heading2"/>
      </w:pPr>
      <w:r>
        <w:t>三、研究设计</w:t>
      </w:r>
    </w:p>
    <w:p>
      <w:r>
        <w:rPr>
          <w:b/>
        </w:rPr>
        <w:t>架构</w:t>
      </w:r>
      <w:r>
        <w:t>：基于 AgentSociety² 自定义环境模块 `ElderSupportNetworkEnv` 与老人、社工等智能体，采用混合分层仿真（同平台官方信息茧房案例）：约 2,500 名规则驱动的规模层老人提供宏观网络结构，300–500 名 LLM 完整推理的焦点层老人产出带自然语言理由的决策，供定性分析。</w:t>
      </w:r>
    </w:p>
    <w:p>
      <w:r>
        <w:rPr>
          <w:b/>
        </w:rPr>
        <w:t>数据与画像</w:t>
      </w:r>
      <w:r>
        <w:t>：画像全部来自 CHARLS、CLHLS 公开调查数据的分布抽样（年龄、健康、子女距离、照料来源、孤独感等），不做主观虚构，并以已发表论文分布表交叉校验。</w:t>
      </w:r>
    </w:p>
    <w:p>
      <w:r>
        <w:rPr>
          <w:b/>
        </w:rPr>
        <w:t>实验流程（三阶段）</w:t>
      </w:r>
      <w:r>
        <w:t>：</w:t>
      </w:r>
    </w:p>
    <w:p>
      <w:pPr>
        <w:pStyle w:val="ListNumber"/>
      </w:pPr>
      <w:r>
        <w:rPr>
          <w:b/>
        </w:rPr>
        <w:t>基线诊断</w:t>
      </w:r>
      <w:r>
        <w:t>（检验 H1、H2）：无干预自然演化 24 个模拟月，按真实统计概率注入生活事件，识别级联临界点，产出风险分型；</w:t>
      </w:r>
    </w:p>
    <w:p>
      <w:pPr>
        <w:pStyle w:val="ListNumber"/>
      </w:pPr>
      <w:r>
        <w:rPr>
          <w:b/>
        </w:rPr>
        <w:t>介入时机实验</w:t>
      </w:r>
      <w:r>
        <w:t>（检验 H3）：固定个案管理机制，设预防期/预警期/危机期/无介入四条件，同一批智能体同一随机种子，各重复 10 次，产出"时机—效果—成本"曲线；</w:t>
      </w:r>
    </w:p>
    <w:p>
      <w:pPr>
        <w:pStyle w:val="ListNumber"/>
      </w:pPr>
      <w:r>
        <w:rPr>
          <w:b/>
        </w:rPr>
        <w:t>机制对照实验</w:t>
      </w:r>
      <w:r>
        <w:t>（检验 H4）：固定预警期介入，对照个案管理（设实务个案量上限）、时间银行（积分互助，参照国内试点参数）、平台志愿匹配三机制，介入 12 个月后撤出、追踪 6 个月观测可持续性，各重复 10 次。</w:t>
      </w:r>
    </w:p>
    <w:p>
      <w:r>
        <w:rPr>
          <w:b/>
        </w:rPr>
        <w:t>观测指标</w:t>
      </w:r>
      <w:r>
        <w:t>：个体层（三类支持接触频率、求助与响应、深度孤立——操作化为连续 3 个模拟月无情感性支持且工具性支持低于阈值）；网络层（个体网规模、密度、关键节点依赖、韧性）；群体层（孤立发生率、覆盖率、人均成本、回弹幅度）；定性层（焦点层决策理由的主题编码）。</w:t>
      </w:r>
    </w:p>
    <w:p>
      <w:r>
        <w:rPr>
          <w:b/>
        </w:rPr>
        <w:t>科学性保障</w:t>
      </w:r>
      <w:r>
        <w:t>：① 输入端以真实调查分布校准；② 输出端与已发表实证指标对比、超阈值回溯修正；③ LLM 智能体与人类行为的偏离不掩盖、作为独立发现分析；④ 关键参数敏感性扫描、全条件 10 次重复并报告置信区间；⑤ 工作区保留全部配置、日志、回放与脚本，可复现可回放。</w:t>
      </w:r>
    </w:p>
    <w:p>
      <w:r>
        <w:rPr>
          <w:b/>
        </w:rPr>
        <w:t>自迭代闭环</w:t>
      </w:r>
      <w:r>
        <w:t>：利用平台 analysis harness，每轮实验后自动执行 EDA、标记异常行为、沉淀反思并注入下一轮修正，全程留痕作为方法严谨性证据。</w:t>
      </w:r>
    </w:p>
    <w:p>
      <w:pPr>
        <w:pStyle w:val="Heading2"/>
      </w:pPr>
      <w:r>
        <w:t>四、预期成果</w:t>
      </w:r>
    </w:p>
    <w:p>
      <w:pPr>
        <w:pStyle w:val="ListNumber"/>
      </w:pPr>
      <w:r>
        <w:rPr>
          <w:b/>
        </w:rPr>
        <w:t>理论</w:t>
      </w:r>
      <w:r>
        <w:t>：以可执行模型检验护航模型与级联衰减假说；</w:t>
      </w:r>
    </w:p>
    <w:p>
      <w:pPr>
        <w:pStyle w:val="ListNumber"/>
      </w:pPr>
      <w:r>
        <w:rPr>
          <w:b/>
        </w:rPr>
        <w:t>方法</w:t>
      </w:r>
      <w:r>
        <w:t>：形成"真实数据校准 + 混合分层仿真 + 反事实介入实验"研究模板，并讨论 LLM 智能体作为模拟被试的效度边界；</w:t>
      </w:r>
    </w:p>
    <w:p>
      <w:pPr>
        <w:pStyle w:val="ListNumber"/>
      </w:pPr>
      <w:r>
        <w:rPr>
          <w:b/>
        </w:rPr>
        <w:t>实务</w:t>
      </w:r>
      <w:r>
        <w:t>：产出风险预警分型工具、介入时机决策曲线与三机制比较证据，可直接服务社区养老资源配置；</w:t>
      </w:r>
    </w:p>
    <w:p>
      <w:pPr>
        <w:pStyle w:val="ListNumber"/>
      </w:pPr>
      <w:r>
        <w:rPr>
          <w:b/>
        </w:rPr>
        <w:t>形式</w:t>
      </w:r>
      <w:r>
        <w:t>：研究报告（可发展为本科论文与期刊投稿）、完整 AgentSociety² 工作区与开源代码。</w:t>
      </w:r>
    </w:p>
    <w:p>
      <w:pPr>
        <w:pStyle w:val="Heading2"/>
      </w:pPr>
      <w:r>
        <w:t>五、计划与分工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第 1 周</w:t>
            </w:r>
          </w:p>
        </w:tc>
        <w:tc>
          <w:tcPr>
            <w:tcW w:type="dxa" w:w="2880"/>
          </w:tcPr>
          <w:p>
            <w:r>
              <w:t>至 8 月 31 日</w:t>
            </w:r>
          </w:p>
        </w:tc>
        <w:tc>
          <w:tcPr>
            <w:tcW w:type="dxa" w:w="2880"/>
          </w:tcPr>
          <w:p>
            <w:r>
              <w:t>数据申请与校准基准确定；模块开发；小规模原型跑通全链路</w:t>
            </w:r>
          </w:p>
        </w:tc>
      </w:tr>
      <w:tr>
        <w:tc>
          <w:tcPr>
            <w:tcW w:type="dxa" w:w="2880"/>
          </w:tcPr>
          <w:p>
            <w:r>
              <w:t>第 2 周</w:t>
            </w:r>
          </w:p>
        </w:tc>
        <w:tc>
          <w:tcPr>
            <w:tcW w:type="dxa" w:w="2880"/>
          </w:tcPr>
          <w:p>
            <w:r>
              <w:t>9 月 1–7 日</w:t>
            </w:r>
          </w:p>
        </w:tc>
        <w:tc>
          <w:tcPr>
            <w:tcW w:type="dxa" w:w="2880"/>
          </w:tcPr>
          <w:p>
            <w:r>
              <w:t>规模化基线实验；风险分型；校准与偏离诊断</w:t>
            </w:r>
          </w:p>
        </w:tc>
      </w:tr>
      <w:tr>
        <w:tc>
          <w:tcPr>
            <w:tcW w:type="dxa" w:w="2880"/>
          </w:tcPr>
          <w:p>
            <w:r>
              <w:t>第 3 周</w:t>
            </w:r>
          </w:p>
        </w:tc>
        <w:tc>
          <w:tcPr>
            <w:tcW w:type="dxa" w:w="2880"/>
          </w:tcPr>
          <w:p>
            <w:r>
              <w:t>9 月 8–14 日</w:t>
            </w:r>
          </w:p>
        </w:tc>
        <w:tc>
          <w:tcPr>
            <w:tcW w:type="dxa" w:w="2880"/>
          </w:tcPr>
          <w:p>
            <w:r>
              <w:t>时机与机制实验；分析可视化；9 月 15 日前提交初筛材料</w:t>
            </w:r>
          </w:p>
        </w:tc>
      </w:tr>
      <w:tr>
        <w:tc>
          <w:tcPr>
            <w:tcW w:type="dxa" w:w="2880"/>
          </w:tcPr>
          <w:p>
            <w:r>
              <w:t>后续</w:t>
            </w:r>
          </w:p>
        </w:tc>
        <w:tc>
          <w:tcPr>
            <w:tcW w:type="dxa" w:w="2880"/>
          </w:tcPr>
          <w:p>
            <w:r>
              <w:t>9 月下旬–10 月</w:t>
            </w:r>
          </w:p>
        </w:tc>
        <w:tc>
          <w:tcPr>
            <w:tcW w:type="dxa" w:w="2880"/>
          </w:tcPr>
          <w:p>
            <w:r>
              <w:t>按评审反馈迭代，准备现场展示</w:t>
            </w:r>
          </w:p>
        </w:tc>
      </w:tr>
    </w:tbl>
    <w:p/>
    <w:p>
      <w:r>
        <w:t>社会工作专业成员负责文献、画像效度、介入实务参数与定性编码；技术实现依托 AgentSociety² 平台完成。</w:t>
      </w:r>
    </w:p>
    <w:p>
      <w:pPr>
        <w:pStyle w:val="Heading2"/>
      </w:pPr>
      <w:r>
        <w:t>六、伦理声明</w:t>
      </w:r>
    </w:p>
    <w:p>
      <w:r>
        <w:t>实验对象均为虚拟智能体，不涉及真实人类被试；CHARLS/CLHLS 数据经正规渠道申请，仅用于分布层面校准，不涉及可识别个体信息；涉及丧偶、失能等事件的表述遵循老年社会工作伦理规范。</w:t>
      </w:r>
    </w:p>
    <w:p>
      <w:pPr>
        <w:pStyle w:val="Heading2"/>
      </w:pPr>
      <w:r>
        <w:t>参考文献（核心）</w:t>
      </w:r>
    </w:p>
    <w:p>
      <w:pPr>
        <w:pStyle w:val="ListBullet"/>
      </w:pPr>
      <w:r>
        <w:t>House, J. S. (1981). *Work Stress and Social Support*.</w:t>
      </w:r>
    </w:p>
    <w:p>
      <w:pPr>
        <w:pStyle w:val="ListBullet"/>
      </w:pPr>
      <w:r>
        <w:t>Kahn, R. L., &amp; Antonucci, T. C. (1980). Convoys over the life course. *Life-span Development and Behavior*.</w:t>
      </w:r>
    </w:p>
    <w:p>
      <w:pPr>
        <w:pStyle w:val="ListBullet"/>
      </w:pPr>
      <w:r>
        <w:t>Granovetter, M. (1973). The strength of weak ties. *AJS*.</w:t>
      </w:r>
    </w:p>
    <w:p>
      <w:pPr>
        <w:pStyle w:val="ListBullet"/>
      </w:pPr>
      <w:r>
        <w:t>Putnam, R. D. (2000). *Bowling Alone*.</w:t>
      </w:r>
    </w:p>
    <w:p>
      <w:pPr>
        <w:pStyle w:val="ListBullet"/>
      </w:pPr>
      <w:r>
        <w:t>CHARLS、CLHLS 公开数据及相关实证文献（校准基准清单于正式报告列明）。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