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FFB" w:rsidRPr="008E3FFB" w:rsidRDefault="008E3FFB" w:rsidP="008E3FFB">
      <w:pPr>
        <w:shd w:val="clear" w:color="auto" w:fill="F4B083" w:themeFill="accent2" w:themeFillTint="99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8E3FFB">
        <w:rPr>
          <w:rFonts w:ascii="Times New Roman" w:eastAsia="Calibri" w:hAnsi="Times New Roman" w:cs="Times New Roman"/>
          <w:b/>
          <w:sz w:val="28"/>
        </w:rPr>
        <w:t xml:space="preserve">ЛИЧНЫЙ КАБИНЕТ. МЕДИКАМЕНТОЗНАЯ ПРОФИЛАКТИКА ПОВТОРНОГО СОСУДИСТОГО СОБЫТИЯ </w:t>
      </w:r>
    </w:p>
    <w:p w:rsidR="008E3FFB" w:rsidRPr="008E3FFB" w:rsidRDefault="008E3FFB" w:rsidP="008E3FFB">
      <w:pPr>
        <w:shd w:val="clear" w:color="auto" w:fill="F4B083" w:themeFill="accent2" w:themeFillTint="99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8E3FFB">
        <w:rPr>
          <w:rFonts w:ascii="Times New Roman" w:eastAsia="Calibri" w:hAnsi="Times New Roman" w:cs="Times New Roman"/>
          <w:b/>
          <w:sz w:val="28"/>
        </w:rPr>
        <w:t>(ЛЕКАРСТВЕННАЯ ТЕРАПИЯ)</w:t>
      </w: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8E3FFB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3CEF43F6" wp14:editId="420EF6FB">
            <wp:extent cx="5760000" cy="3239999"/>
            <wp:effectExtent l="190500" t="190500" r="184150" b="189230"/>
            <wp:docPr id="1101" name="Рисунок 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E3FFB" w:rsidRPr="008E3FFB" w:rsidRDefault="008E3FFB" w:rsidP="008E3FFB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8E3FFB">
        <w:rPr>
          <w:rFonts w:ascii="Times New Roman" w:hAnsi="Times New Roman" w:cs="Times New Roman"/>
          <w:sz w:val="24"/>
        </w:rPr>
        <w:t xml:space="preserve">Вкладка личного кабинета «Медикаментозная терапия», представляет собой модуль поддержки принятия решения по медикаментозной профилактике повторного сосудистого события. </w:t>
      </w: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8E3FFB" w:rsidRPr="008E3FFB" w:rsidRDefault="008E3FFB" w:rsidP="008E3FFB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8E3FFB">
        <w:rPr>
          <w:rFonts w:ascii="Times New Roman" w:eastAsia="Calibri" w:hAnsi="Times New Roman" w:cs="Times New Roman"/>
          <w:b/>
          <w:sz w:val="28"/>
        </w:rPr>
        <w:t>Список видов терапии</w:t>
      </w: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sz w:val="28"/>
        </w:rPr>
      </w:pPr>
      <w:r w:rsidRPr="008E3FFB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325C104" wp14:editId="6A6A9B61">
            <wp:extent cx="4320000" cy="3336631"/>
            <wp:effectExtent l="190500" t="190500" r="194945" b="187960"/>
            <wp:docPr id="1102" name="Рисунок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366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sz w:val="28"/>
        </w:rPr>
      </w:pP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8E3FFB">
        <w:rPr>
          <w:rFonts w:ascii="Times New Roman" w:eastAsia="Calibri" w:hAnsi="Times New Roman" w:cs="Times New Roman"/>
          <w:b/>
          <w:sz w:val="28"/>
        </w:rPr>
        <w:t>МЕДИКАМЕНТОЗНАЯ ПРОФИЛАКТИКА ПОВТОРНОГО СОСУДИСТОГО СОБЫТИЯ</w:t>
      </w: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8E3FFB">
        <w:rPr>
          <w:rFonts w:ascii="Times New Roman" w:eastAsia="Calibri" w:hAnsi="Times New Roman" w:cs="Times New Roman"/>
          <w:b/>
          <w:sz w:val="28"/>
        </w:rPr>
        <w:lastRenderedPageBreak/>
        <w:t>(ЛЕКАРСТВЕННАЯ ТЕРАПИЯ)</w:t>
      </w: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i/>
          <w:color w:val="0070C0"/>
          <w:sz w:val="24"/>
        </w:rPr>
      </w:pPr>
    </w:p>
    <w:p w:rsidR="008E3FFB" w:rsidRPr="008E3FFB" w:rsidRDefault="008E3FFB" w:rsidP="008E3FF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8E3FF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6D7CBC8" wp14:editId="6FB16E93">
            <wp:extent cx="406596" cy="360000"/>
            <wp:effectExtent l="0" t="0" r="0" b="2540"/>
            <wp:docPr id="667" name="Рисунок 667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FFB">
        <w:rPr>
          <w:rFonts w:ascii="Times New Roman" w:eastAsia="Calibri" w:hAnsi="Times New Roman" w:cs="Times New Roman"/>
          <w:sz w:val="24"/>
        </w:rPr>
        <w:t xml:space="preserve">  </w:t>
      </w:r>
      <w:r w:rsidRPr="008E3FFB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8E3FFB">
        <w:rPr>
          <w:rFonts w:ascii="Times New Roman" w:eastAsia="Calibri" w:hAnsi="Times New Roman" w:cs="Times New Roman"/>
          <w:sz w:val="24"/>
        </w:rPr>
        <w:t xml:space="preserve"> </w:t>
      </w:r>
    </w:p>
    <w:p w:rsidR="008E3FFB" w:rsidRPr="008E3FFB" w:rsidRDefault="008E3FFB" w:rsidP="008E3FF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8E3FFB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8E3FFB" w:rsidRPr="008E3FFB" w:rsidRDefault="008E3FFB" w:rsidP="008E3FFB">
      <w:pPr>
        <w:spacing w:after="0"/>
        <w:jc w:val="center"/>
        <w:rPr>
          <w:rFonts w:ascii="Times New Roman" w:eastAsia="Calibri" w:hAnsi="Times New Roman" w:cs="Times New Roman"/>
          <w:color w:val="0070C0"/>
          <w:sz w:val="24"/>
        </w:rPr>
      </w:pPr>
    </w:p>
    <w:p w:rsidR="008E3FFB" w:rsidRPr="008E3FFB" w:rsidRDefault="008E3FFB" w:rsidP="008E3FFB">
      <w:pPr>
        <w:shd w:val="clear" w:color="auto" w:fill="FBE4D5" w:themeFill="accent2" w:themeFillTint="33"/>
        <w:spacing w:after="0"/>
        <w:rPr>
          <w:rFonts w:ascii="Times New Roman" w:eastAsia="Calibri" w:hAnsi="Times New Roman" w:cs="Times New Roman"/>
          <w:b/>
          <w:i/>
          <w:sz w:val="24"/>
        </w:rPr>
      </w:pPr>
      <w:r w:rsidRPr="008E3FF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4EC0314" wp14:editId="6D3ECB8A">
            <wp:extent cx="406596" cy="360000"/>
            <wp:effectExtent l="0" t="0" r="0" b="2540"/>
            <wp:docPr id="60" name="Рисунок 60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FFB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8E3FF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8E3FFB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8E3FF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8E3FFB">
        <w:rPr>
          <w:rFonts w:ascii="Times New Roman" w:eastAsia="Calibri" w:hAnsi="Times New Roman" w:cs="Times New Roman"/>
          <w:b/>
          <w:i/>
          <w:sz w:val="24"/>
        </w:rPr>
        <w:t xml:space="preserve"> </w:t>
      </w:r>
    </w:p>
    <w:p w:rsidR="008E3FFB" w:rsidRPr="008E3FFB" w:rsidRDefault="008E3FFB" w:rsidP="008E3FF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8E3FFB">
        <w:rPr>
          <w:rFonts w:ascii="Times New Roman" w:eastAsia="Calibri" w:hAnsi="Times New Roman" w:cs="Times New Roman"/>
          <w:sz w:val="24"/>
        </w:rPr>
        <w:t>П</w:t>
      </w:r>
      <w:r w:rsidRPr="008E3FF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8E3FFB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>У пациентов, перенесших ишемический инсульт или ТИА, риск развития повторных инсультов повышен почти в 10 раз и составляет около 25—30%. Риск повторного инсульта наиболее высок в первые несколько недель от его развития, повторной ТИА — в течение первых трех дней. В связи с этим вторичная профилактика должна быть начата как можно раньше: сразу после диагностики ТИА и не позднее 48 ч после развития ишемического инсульта. Индивидуализированная вторичная профилактика инсульта уменьшает риск развития повторного нарушения мозгового кровообращения на 20—30%.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>1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sz w:val="24"/>
          <w:szCs w:val="26"/>
        </w:rPr>
      </w:pPr>
    </w:p>
    <w:p w:rsidR="008E3FFB" w:rsidRPr="008E3FFB" w:rsidRDefault="008E3FFB" w:rsidP="008E3FFB">
      <w:pPr>
        <w:spacing w:after="0"/>
        <w:rPr>
          <w:rFonts w:ascii="Times New Roman" w:eastAsia="SimSun" w:hAnsi="Times New Roman" w:cs="Times New Roman"/>
          <w:bCs/>
          <w:color w:val="0070C0"/>
          <w:kern w:val="1"/>
          <w:sz w:val="24"/>
          <w:lang w:eastAsia="hi-IN" w:bidi="hi-IN"/>
        </w:rPr>
      </w:pPr>
    </w:p>
    <w:p w:rsidR="008E3FFB" w:rsidRPr="008E3FFB" w:rsidRDefault="008E3FFB" w:rsidP="008E3FFB">
      <w:pPr>
        <w:spacing w:after="0"/>
        <w:jc w:val="both"/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</w:pPr>
      <w:r w:rsidRPr="008E3FFB">
        <w:rPr>
          <w:rFonts w:ascii="Times New Roman" w:eastAsia="SimSun" w:hAnsi="Times New Roman" w:cs="Times New Roman"/>
          <w:b/>
          <w:bCs/>
          <w:noProof/>
          <w:kern w:val="1"/>
          <w:sz w:val="28"/>
          <w:lang w:eastAsia="ru-RU"/>
        </w:rPr>
        <w:drawing>
          <wp:inline distT="0" distB="0" distL="0" distR="0" wp14:anchorId="1D134C98" wp14:editId="086E2695">
            <wp:extent cx="209550" cy="209550"/>
            <wp:effectExtent l="0" t="0" r="0" b="0"/>
            <wp:docPr id="1160" name="Рисунок 1160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FF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 </w:t>
      </w:r>
      <w:proofErr w:type="spellStart"/>
      <w:r w:rsidRPr="008E3FFB">
        <w:rPr>
          <w:rFonts w:ascii="Times New Roman" w:eastAsia="SimSun" w:hAnsi="Times New Roman" w:cs="Times New Roman"/>
          <w:b/>
          <w:bCs/>
          <w:kern w:val="1"/>
          <w:sz w:val="28"/>
          <w:u w:val="single"/>
          <w:lang w:eastAsia="hi-IN" w:bidi="hi-IN"/>
        </w:rPr>
        <w:t>Антигипертензивная</w:t>
      </w:r>
      <w:proofErr w:type="spellEnd"/>
      <w:r w:rsidRPr="008E3FFB">
        <w:rPr>
          <w:rFonts w:ascii="Times New Roman" w:eastAsia="SimSun" w:hAnsi="Times New Roman" w:cs="Times New Roman"/>
          <w:b/>
          <w:bCs/>
          <w:kern w:val="1"/>
          <w:sz w:val="28"/>
          <w:u w:val="single"/>
          <w:lang w:eastAsia="hi-IN" w:bidi="hi-IN"/>
        </w:rPr>
        <w:t xml:space="preserve"> терапия</w:t>
      </w:r>
      <w:r w:rsidRPr="008E3FF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 </w:t>
      </w:r>
      <w:r w:rsidRPr="008E3FF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- при клике по ссылке с названием терапии, осуществляется переход на страницу с данным видом терапии </w:t>
      </w:r>
      <w:r w:rsidRPr="008E3FFB">
        <w:rPr>
          <w:rFonts w:ascii="Times New Roman" w:eastAsia="Calibri" w:hAnsi="Times New Roman" w:cs="Times New Roman"/>
          <w:i/>
          <w:sz w:val="24"/>
        </w:rPr>
        <w:t>(везде далее - аналогично)</w:t>
      </w:r>
      <w:r w:rsidRPr="008E3FF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>.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1. Рекомендован регулярный контроль уровня АД. Снижение уровня АД после острейшего периода инсульта, включая пациентов с нормальным уровнем АД (Класс I, уровень А)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  <w:r w:rsidRPr="008E3FFB">
        <w:rPr>
          <w:rFonts w:ascii="Times New Roman" w:eastAsia="Calibri" w:hAnsi="Times New Roman" w:cs="Times New Roman"/>
          <w:i/>
          <w:sz w:val="24"/>
        </w:rPr>
        <w:t>.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vertAlign w:val="superscript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2. У пациентов с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окклюзирующим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 или тяжелым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стенозирующим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 поражением брахицефальных артерий следует избегать чрезмерного снижения АД. Рекомендуется индивидуализированный подход к снижению АД на основании суточного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мониторирования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 АД и контроля субъективного состояния.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3. Снижение АД рекомендуется для профилактики ИИ и других сосудистых заболеваний (Класс I, уровень А).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4. Снижение АД целесообразно и при отсутствии артериальной гипертензии (Класс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IIа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>, уровень В).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5. Оптимальный уровень АД индивидуален; 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- следует постепенно снизить АД на 10/5 мм рт. ст. и достигнуть нормальных значений АД — ниже 140/90 мм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рт.ст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., 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- в случае сахарного диабета и почечной недостаточности —130/80 мм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рт.ст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. (Класс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IIа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, уровень В), 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- для больных с лакунарным инсультом — ниже 130/80 мм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рт.ст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. 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b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>- у больных, имеющих существенный стеноз (сужение более 70% диаметра) или окклюзию сонных артерий, целесообразен более высокий уровень систолического АД.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Не следует значительно снижать АД у больных с предполагаемым гемодинамическим инсультом или билатеральным стенозом сонных артерий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3</w:t>
      </w:r>
    </w:p>
    <w:p w:rsid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1. Назначение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антигипертензивных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 препаратов больным, перенесшим мозговой инсульт или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lastRenderedPageBreak/>
        <w:t>транзиторную ишемическую атаку, существенно снижает вероятность повторного мозгового инсульта или других сердечно-сосудистых осложнений</w:t>
      </w:r>
      <w:r w:rsidRPr="008E3FFB">
        <w:rPr>
          <w:rFonts w:ascii="Times New Roman" w:eastAsia="Calibri" w:hAnsi="Times New Roman" w:cs="Times New Roman"/>
          <w:b/>
          <w:i/>
          <w:sz w:val="24"/>
        </w:rPr>
        <w:t>.</w:t>
      </w:r>
      <w:r w:rsidRPr="008E3FFB">
        <w:rPr>
          <w:rFonts w:ascii="Times New Roman" w:eastAsia="Calibri" w:hAnsi="Times New Roman" w:cs="Times New Roman"/>
          <w:b/>
          <w:i/>
          <w:sz w:val="24"/>
          <w:vertAlign w:val="superscript"/>
        </w:rPr>
        <w:t>2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8E3FFB">
        <w:rPr>
          <w:rFonts w:ascii="Times New Roman" w:eastAsia="Calibri" w:hAnsi="Times New Roman" w:cs="Times New Roman"/>
          <w:i/>
          <w:sz w:val="24"/>
        </w:rPr>
        <w:t xml:space="preserve">   2. Мета-анализ 7 крупных исследований, в которых приняли участие 15 527 человек с перенесенным мозговым инсультом (как ишемическим, так и геморрагическим) или ТИА, показал, что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</w:rPr>
        <w:t>антигипертензивная</w:t>
      </w:r>
      <w:proofErr w:type="spellEnd"/>
      <w:r w:rsidRPr="008E3FFB">
        <w:rPr>
          <w:rFonts w:ascii="Times New Roman" w:eastAsia="Calibri" w:hAnsi="Times New Roman" w:cs="Times New Roman"/>
          <w:i/>
          <w:sz w:val="24"/>
        </w:rPr>
        <w:t xml:space="preserve"> терапия снижает риск повторного инсульта на 24%, при этом более выраженное снижение САД ассоциировалось с меньшим риском повторного инсульта.</w:t>
      </w:r>
      <w:r w:rsidRPr="008E3FFB">
        <w:rPr>
          <w:rFonts w:ascii="Times New Roman" w:eastAsia="Calibri" w:hAnsi="Times New Roman" w:cs="Times New Roman"/>
          <w:i/>
          <w:sz w:val="24"/>
          <w:vertAlign w:val="superscript"/>
        </w:rPr>
        <w:t>2</w:t>
      </w:r>
    </w:p>
    <w:p w:rsidR="008E3FFB" w:rsidRPr="008E3FFB" w:rsidRDefault="008E3FFB" w:rsidP="008E3FFB">
      <w:pPr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8E3FFB" w:rsidRPr="008E3FFB" w:rsidRDefault="008E3FFB" w:rsidP="008E3FFB">
      <w:pPr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8E3FFB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04CAE0EC" wp14:editId="76237973">
            <wp:extent cx="209550" cy="209550"/>
            <wp:effectExtent l="0" t="0" r="0" b="0"/>
            <wp:docPr id="1159" name="Рисунок 1159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FFB">
        <w:rPr>
          <w:rFonts w:ascii="Times New Roman" w:eastAsia="Calibri" w:hAnsi="Times New Roman" w:cs="Times New Roman"/>
        </w:rPr>
        <w:t xml:space="preserve"> </w:t>
      </w:r>
      <w:proofErr w:type="spellStart"/>
      <w:r w:rsidRPr="008E3FF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Антитромботическая</w:t>
      </w:r>
      <w:proofErr w:type="spellEnd"/>
      <w:r w:rsidRPr="008E3FF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 терапия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  - Пациентам, перенесшим инсульт, рекомендуется проведение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антитромболической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терапии (Класс I, уровень А).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>1</w:t>
      </w:r>
    </w:p>
    <w:p w:rsidR="008E3FFB" w:rsidRPr="008E3FFB" w:rsidRDefault="008E3FFB" w:rsidP="008E3FFB">
      <w:pPr>
        <w:suppressAutoHyphens/>
        <w:spacing w:after="0"/>
        <w:jc w:val="both"/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</w:pP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  - Для пациентов с 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некардиоэмболическим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острым ишемическим инсультом рекомендуется применять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антитромбоцитарные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средства вместо пероральной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антикоагулянтной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терапии с целью снижения риска повторного инсульта и прочих сердечно-сосудистых событий. (I; А)</w:t>
      </w: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  <w:t>4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6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  -  При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некардиоэмболическом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инсульте (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атеротромботическом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, лакунарном и инсульте с неясной причиной) рекомендуются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антитромбоцитарные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средства, при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кардиоэмболическом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инсульте — непрямые антикоагулянты (Класс I, уровень А).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 xml:space="preserve"> </w:t>
      </w: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Если при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кардиоэмболическом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инсульте невозможен или противопоказан прием непрямых антикоагулянтов, то рекомендуются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ангитромбоцитарные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средства.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6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  - Терапия антикоагулянтами показана больным, перенесшим ишемический инсульт, связанный с мерцательной аритмией (Класс I, уровень А). Пожилой возраст не является противопоказанием для терапии оральными антикоагулянтами (Класс I, уровень А).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 xml:space="preserve"> 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6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  - Больные, которым не показана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антикоагулянтная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терапия, должны получать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антиагрегантную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терапию (Класс I, уровень А).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  - У пациентов, перенесших инсульт на фоне приема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антитромбоцитарных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препаратов, необходима повторная оценка патофизиологических механизмов и факторов риска инсульта (Класс IV, GCP)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>1; 3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 xml:space="preserve"> 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8E3FFB" w:rsidRPr="008E3FFB" w:rsidRDefault="008E3FFB" w:rsidP="008E3FFB">
      <w:pPr>
        <w:spacing w:after="0"/>
        <w:jc w:val="both"/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</w:pPr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  - Для пациентов с острым ишемическим инсультом и геморрагической трансформацией вопрос о начале или возобновлении 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антитромбоцитарной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или 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антикоагулянтной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 xml:space="preserve"> терапии рассматривается в зависимости от конкретного клинического течения и ведущих симптомов. (</w:t>
      </w:r>
      <w:proofErr w:type="spellStart"/>
      <w:r w:rsidRPr="008E3FFB">
        <w:rPr>
          <w:rFonts w:ascii="Times New Roman" w:eastAsia="Calibri" w:hAnsi="Times New Roman" w:cs="Times New Roman"/>
          <w:i/>
          <w:sz w:val="24"/>
          <w:szCs w:val="26"/>
        </w:rPr>
        <w:t>IIb</w:t>
      </w:r>
      <w:proofErr w:type="spellEnd"/>
      <w:r w:rsidRPr="008E3FFB">
        <w:rPr>
          <w:rFonts w:ascii="Times New Roman" w:eastAsia="Calibri" w:hAnsi="Times New Roman" w:cs="Times New Roman"/>
          <w:i/>
          <w:sz w:val="24"/>
          <w:szCs w:val="26"/>
        </w:rPr>
        <w:t>; B-NR)</w:t>
      </w:r>
      <w:r w:rsidRPr="008E3FFB">
        <w:rPr>
          <w:rFonts w:ascii="Times New Roman" w:eastAsia="Calibri" w:hAnsi="Times New Roman" w:cs="Times New Roman"/>
          <w:i/>
          <w:sz w:val="24"/>
          <w:szCs w:val="26"/>
          <w:vertAlign w:val="superscript"/>
        </w:rPr>
        <w:t>4</w:t>
      </w:r>
    </w:p>
    <w:p w:rsidR="008E3FFB" w:rsidRPr="008E3FFB" w:rsidRDefault="008E3FFB" w:rsidP="008E3FFB">
      <w:pPr>
        <w:spacing w:after="0"/>
        <w:jc w:val="both"/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</w:pP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  - Для пациентов с 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некардиоэмболическим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острым ишемическим инсультом переход от 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антитромбоцитарной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терапии к применению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варфарина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в целях профилактики вторичного инсульта клинически не выгоден. (III: не рекомендуется; B-R)</w:t>
      </w: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  <w:t>4</w:t>
      </w:r>
    </w:p>
    <w:p w:rsidR="008E3FFB" w:rsidRPr="008E3FFB" w:rsidRDefault="008E3FFB" w:rsidP="008E3FFB">
      <w:pPr>
        <w:suppressAutoHyphens/>
        <w:spacing w:after="0"/>
        <w:jc w:val="both"/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</w:pP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  - Выбор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антитромбоцитарного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средства при ранней профилактике вторичных последствий у пациентов с 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некардиоэмболическим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острым ишемическим инсультом должен быть оптимизирован с учетом индивидуального риска, стоимости, переносимости, относительной эффективности и прочих клинических характеристик. (I; С-ЕО)</w:t>
      </w: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  <w:t>4</w:t>
      </w:r>
    </w:p>
    <w:p w:rsidR="008E3FFB" w:rsidRPr="008E3FFB" w:rsidRDefault="008E3FFB" w:rsidP="008E3FFB">
      <w:pPr>
        <w:suppressAutoHyphens/>
        <w:spacing w:after="0"/>
        <w:jc w:val="both"/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</w:pP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  - Для пациентов с ишемическим инсультом, фибрилляцией предсердий и ишемической болезнью сердца применение дополнительных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антитромбоцитарных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средств вместе с пероральными антикоагулянтами с целью снижения риска ишемических сердечно-сосудистых и цереброваскулярных событий не имеет определенной клинической пользы. Нестабильная стенокардия и 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стентирование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коронарной артерии представляют особые обстоятельства, при которых может быть назначена двойная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антитромбоцитарная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/пероральная 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антикоагулянтная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 xml:space="preserve"> терапия. (</w:t>
      </w:r>
      <w:proofErr w:type="spellStart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IIb</w:t>
      </w:r>
      <w:proofErr w:type="spellEnd"/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lang w:eastAsia="hi-IN" w:bidi="hi-IN"/>
        </w:rPr>
        <w:t>; С-LD)</w:t>
      </w:r>
      <w:r w:rsidRPr="008E3FFB">
        <w:rPr>
          <w:rFonts w:ascii="Times New Roman" w:eastAsia="SimSun" w:hAnsi="Times New Roman" w:cs="Times New Roman"/>
          <w:i/>
          <w:color w:val="000000"/>
          <w:kern w:val="1"/>
          <w:sz w:val="24"/>
          <w:szCs w:val="26"/>
          <w:vertAlign w:val="superscript"/>
          <w:lang w:eastAsia="hi-IN" w:bidi="hi-IN"/>
        </w:rPr>
        <w:t>4</w:t>
      </w:r>
    </w:p>
    <w:p w:rsidR="008E3FFB" w:rsidRDefault="008E3FFB" w:rsidP="008E3FFB">
      <w:pPr>
        <w:spacing w:after="0"/>
        <w:rPr>
          <w:rFonts w:ascii="Times New Roman" w:eastAsia="Calibri" w:hAnsi="Times New Roman" w:cs="Times New Roman"/>
          <w:b/>
          <w:sz w:val="28"/>
          <w:u w:val="single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b/>
          <w:sz w:val="28"/>
          <w:u w:val="single"/>
        </w:rPr>
      </w:pPr>
      <w:proofErr w:type="spellStart"/>
      <w:r w:rsidRPr="008E3FFB">
        <w:rPr>
          <w:rFonts w:ascii="Times New Roman" w:eastAsia="Calibri" w:hAnsi="Times New Roman" w:cs="Times New Roman"/>
          <w:b/>
          <w:sz w:val="28"/>
          <w:u w:val="single"/>
        </w:rPr>
        <w:lastRenderedPageBreak/>
        <w:t>Антиагрегантная</w:t>
      </w:r>
      <w:proofErr w:type="spellEnd"/>
      <w:r w:rsidRPr="008E3FFB">
        <w:rPr>
          <w:rFonts w:ascii="Times New Roman" w:eastAsia="Calibri" w:hAnsi="Times New Roman" w:cs="Times New Roman"/>
          <w:b/>
          <w:sz w:val="28"/>
          <w:u w:val="single"/>
        </w:rPr>
        <w:t xml:space="preserve"> терапия</w:t>
      </w:r>
    </w:p>
    <w:p w:rsidR="008E3FFB" w:rsidRDefault="008E3FFB" w:rsidP="008E3FFB">
      <w:pPr>
        <w:spacing w:after="0"/>
        <w:rPr>
          <w:rFonts w:ascii="Times New Roman" w:eastAsia="Calibri" w:hAnsi="Times New Roman" w:cs="Times New Roman"/>
          <w:b/>
          <w:sz w:val="28"/>
          <w:szCs w:val="26"/>
          <w:vertAlign w:val="superscript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b/>
          <w:sz w:val="28"/>
          <w:szCs w:val="26"/>
          <w:vertAlign w:val="superscript"/>
        </w:rPr>
      </w:pPr>
    </w:p>
    <w:p w:rsidR="008E3FFB" w:rsidRPr="008E3FFB" w:rsidRDefault="008E3FFB" w:rsidP="008E3FFB">
      <w:pPr>
        <w:rPr>
          <w:rFonts w:ascii="Times New Roman" w:eastAsia="Calibri" w:hAnsi="Times New Roman" w:cs="Times New Roman"/>
          <w:b/>
          <w:sz w:val="28"/>
          <w:u w:val="single"/>
        </w:rPr>
      </w:pPr>
      <w:proofErr w:type="spellStart"/>
      <w:r w:rsidRPr="008E3FFB">
        <w:rPr>
          <w:rFonts w:ascii="Times New Roman" w:eastAsia="Calibri" w:hAnsi="Times New Roman" w:cs="Times New Roman"/>
          <w:b/>
          <w:sz w:val="28"/>
          <w:u w:val="single"/>
        </w:rPr>
        <w:t>Антикоагулянтная</w:t>
      </w:r>
      <w:proofErr w:type="spellEnd"/>
      <w:r w:rsidRPr="008E3FFB">
        <w:rPr>
          <w:rFonts w:ascii="Times New Roman" w:eastAsia="Calibri" w:hAnsi="Times New Roman" w:cs="Times New Roman"/>
          <w:b/>
          <w:sz w:val="28"/>
          <w:u w:val="single"/>
        </w:rPr>
        <w:t xml:space="preserve"> терапия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b/>
          <w:bCs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Терапия оральными антикоагулянтами (МНО 2,0 – 3,0) рекомендована больным после перенесенного ишемического инсульта, связанного с мерцательной аритмией </w:t>
      </w:r>
      <w:r w:rsidRPr="008E3FFB">
        <w:rPr>
          <w:rFonts w:ascii="Times New Roman" w:eastAsia="Calibri" w:hAnsi="Times New Roman" w:cs="Times New Roman"/>
          <w:bCs/>
          <w:sz w:val="24"/>
          <w:szCs w:val="26"/>
        </w:rPr>
        <w:t>(Класс I, уровень А).</w:t>
      </w:r>
      <w:r w:rsidRPr="008E3FFB">
        <w:rPr>
          <w:rFonts w:ascii="Times New Roman" w:eastAsia="Calibri" w:hAnsi="Times New Roman" w:cs="Times New Roman"/>
          <w:b/>
          <w:bCs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Прием оральных антикоагулянтов не рекомендован больным с частыми падениями, низкой приверженностью терапии, неконтролируемой эпилепсией, желудочно-кишечными кровотечениями </w:t>
      </w:r>
      <w:r w:rsidRPr="008E3FFB">
        <w:rPr>
          <w:rFonts w:ascii="Times New Roman" w:eastAsia="Calibri" w:hAnsi="Times New Roman" w:cs="Times New Roman"/>
          <w:bCs/>
          <w:sz w:val="24"/>
          <w:szCs w:val="26"/>
        </w:rPr>
        <w:t>(Класс III, уровень С)</w:t>
      </w:r>
      <w:r w:rsidRPr="008E3FFB">
        <w:rPr>
          <w:rFonts w:ascii="Times New Roman" w:eastAsia="Calibri" w:hAnsi="Times New Roman" w:cs="Times New Roman"/>
          <w:sz w:val="24"/>
          <w:szCs w:val="26"/>
        </w:rPr>
        <w:t>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Пациенты с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кардиоэмболическим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инсультом, не связанным с мерцательной аритмией, должны получать оральные антикоагулянты (МНО 2,0 – 3,0) при высоком риске повторного инсульта </w:t>
      </w:r>
      <w:r w:rsidRPr="008E3FFB">
        <w:rPr>
          <w:rFonts w:ascii="Times New Roman" w:eastAsia="Calibri" w:hAnsi="Times New Roman" w:cs="Times New Roman"/>
          <w:bCs/>
          <w:sz w:val="24"/>
          <w:szCs w:val="26"/>
        </w:rPr>
        <w:t>(Класс III, уровень С).</w:t>
      </w:r>
      <w:r w:rsidRPr="008E3FFB">
        <w:rPr>
          <w:rFonts w:ascii="Times New Roman" w:eastAsia="Calibri" w:hAnsi="Times New Roman" w:cs="Times New Roman"/>
          <w:bCs/>
          <w:sz w:val="24"/>
          <w:szCs w:val="26"/>
          <w:vertAlign w:val="superscript"/>
        </w:rPr>
        <w:t>2; 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Антикоагулянтная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терапия не рекомендована для пациентов после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некардиоэмболического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инсульта, за исключением некоторых ситуаций, таких как атерома аорты,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фузиформная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аневризма основной артерии,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диссекция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артерий шеи или открытое овальное окно в сочетании с доказанным тромбозом глубоких вен голени или с аневризмой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межпредсердной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перегородки </w:t>
      </w:r>
      <w:r w:rsidRPr="008E3FFB">
        <w:rPr>
          <w:rFonts w:ascii="Times New Roman" w:eastAsia="Calibri" w:hAnsi="Times New Roman" w:cs="Times New Roman"/>
          <w:bCs/>
          <w:sz w:val="24"/>
          <w:szCs w:val="26"/>
        </w:rPr>
        <w:t>(Класс IV, GCP).</w:t>
      </w:r>
      <w:r w:rsidRPr="008E3FFB">
        <w:rPr>
          <w:rFonts w:ascii="Times New Roman" w:eastAsia="Calibri" w:hAnsi="Times New Roman" w:cs="Times New Roman"/>
          <w:bCs/>
          <w:sz w:val="24"/>
          <w:szCs w:val="26"/>
          <w:vertAlign w:val="superscript"/>
        </w:rPr>
        <w:t>3</w:t>
      </w:r>
      <w:r w:rsidRPr="008E3FFB">
        <w:rPr>
          <w:rFonts w:ascii="Times New Roman" w:eastAsia="Calibri" w:hAnsi="Times New Roman" w:cs="Times New Roman"/>
          <w:b/>
          <w:bCs/>
          <w:sz w:val="24"/>
          <w:szCs w:val="26"/>
        </w:rPr>
        <w:t xml:space="preserve"> 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При наличии противопоказаний к терапии оральными антикоагулянтами рекомендована терапия низкими дозами аспирина в сочетании с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дипиридамолом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</w:t>
      </w:r>
      <w:r w:rsidRPr="008E3FFB">
        <w:rPr>
          <w:rFonts w:ascii="Times New Roman" w:eastAsia="Calibri" w:hAnsi="Times New Roman" w:cs="Times New Roman"/>
          <w:bCs/>
          <w:sz w:val="24"/>
          <w:szCs w:val="26"/>
        </w:rPr>
        <w:t>(Класс IV, GCP).</w:t>
      </w:r>
      <w:r w:rsidRPr="008E3FFB">
        <w:rPr>
          <w:rFonts w:ascii="Times New Roman" w:eastAsia="Calibri" w:hAnsi="Times New Roman" w:cs="Times New Roman"/>
          <w:bCs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непрямые антикоагулянты рекомендуются больным с фибрилляцией предсердий, искусственным клапаном сердца или другой причиной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кардиоэмболического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ИИ (Класс I, уровень А).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если нельзя использовать непрямые антикоагулянты, то используют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антитромбоцитарные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средства, при этом комбинация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клопидогрела</w:t>
      </w:r>
      <w:proofErr w:type="spellEnd"/>
      <w:r w:rsidRPr="008E3FFB">
        <w:rPr>
          <w:rFonts w:ascii="Times New Roman" w:eastAsia="Calibri" w:hAnsi="Times New Roman" w:cs="Times New Roman"/>
          <w:b/>
          <w:sz w:val="24"/>
          <w:szCs w:val="26"/>
        </w:rPr>
        <w:t xml:space="preserve"> </w:t>
      </w:r>
      <w:r w:rsidRPr="008E3FFB">
        <w:rPr>
          <w:rFonts w:ascii="Times New Roman" w:eastAsia="Calibri" w:hAnsi="Times New Roman" w:cs="Times New Roman"/>
          <w:sz w:val="24"/>
          <w:szCs w:val="26"/>
        </w:rPr>
        <w:t>(75 мг в сутки) и аспирина</w:t>
      </w:r>
      <w:r w:rsidRPr="008E3FFB">
        <w:rPr>
          <w:rFonts w:ascii="Times New Roman" w:eastAsia="Calibri" w:hAnsi="Times New Roman" w:cs="Times New Roman"/>
          <w:b/>
          <w:sz w:val="24"/>
          <w:szCs w:val="26"/>
        </w:rPr>
        <w:t xml:space="preserve"> </w:t>
      </w:r>
      <w:r w:rsidRPr="008E3FFB">
        <w:rPr>
          <w:rFonts w:ascii="Times New Roman" w:eastAsia="Calibri" w:hAnsi="Times New Roman" w:cs="Times New Roman"/>
          <w:sz w:val="24"/>
          <w:szCs w:val="26"/>
        </w:rPr>
        <w:t>(75—100 мг в сутки) незначительно эффективнее, чем прием одного аспирина (75—100 мг в сутки) (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IIа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>, В), но частота геморрагических осложнений сопоставима с применением пероральных антикоагулянтов.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sz w:val="24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i/>
          <w:sz w:val="24"/>
          <w:u w:val="single"/>
        </w:rPr>
      </w:pPr>
      <w:r w:rsidRPr="008E3FF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Для пациентов с острым ишемическим инсультом и геморрагической трансформацией вопрос о начале или возобновлении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антитромбоцитарной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или 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антикоагулянтной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терапии рассматривается в зависимости от конкретного клинического течения и ведущих симптомов. (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IIb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>; B-NR)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4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Терапия оральными антикоагулянтами после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некардиоэмболического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ишемического инсульта по эффективности не превосходит терапию аспирином, однако приводит к большему количеству кровотечений.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 - Оральные антикоагулянты (МНО 2,0 – 3,0) снижают риск повторного инсульта у пациентов с неклапанной мерцательной аритмией (как при постоянной, так и при пароксизмальной форме), а также при большинстве других состояний, сопровождающихся кардиальной эмболией.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Антикоагулянтную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терапию необходимо продолжать длительное время, или как минимум в течение 3 месяцев после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кардиоэмболического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инсульта, возникшего на фоне острого инфаркта миокарда.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После ТИА или малого инсульта терапия должна начинаться немедленно, однако в случае тяжелого инсульта с признаками обширного инфаркта по данным методов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нейровизуализации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(например, при размере очага поражения более 1/3 бассейна СМА)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антикоагулянтную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терапию необходимо начинать через несколько недель (вопрос в каждом случае должен решаться индивидуально).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lastRenderedPageBreak/>
        <w:t xml:space="preserve">   - Для большинства пациентов с острым ишемическим инсультом после купирования фибрилляции предсердий целесо</w:t>
      </w:r>
      <w:r w:rsidRPr="008E3FFB">
        <w:rPr>
          <w:rFonts w:ascii="Times New Roman" w:eastAsia="Calibri" w:hAnsi="Times New Roman" w:cs="Times New Roman"/>
          <w:sz w:val="24"/>
          <w:szCs w:val="26"/>
        </w:rPr>
        <w:softHyphen/>
        <w:t xml:space="preserve">образно назначить пероральную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антикоагулянтную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терапию в течение 4–14 дней после появления неврологических симптомов. (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IIa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>; B-NR)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4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У пациентов с мерцательной аритмией и стабильной ИБС не следует комбинировать оральные антикоагулянты с аспирином. Терапия антикоагулянтами может быть предпочтительной у пациентов с атеромой аорты,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фузиформной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аневризмой основной артерии или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диссекцией</w:t>
      </w:r>
      <w:proofErr w:type="spellEnd"/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артерий шеи.</w:t>
      </w:r>
      <w:r w:rsidRPr="008E3FFB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8E3FFB">
        <w:rPr>
          <w:rFonts w:ascii="Times New Roman" w:eastAsia="Calibri" w:hAnsi="Times New Roman" w:cs="Times New Roman"/>
          <w:sz w:val="24"/>
          <w:szCs w:val="26"/>
        </w:rPr>
        <w:t xml:space="preserve">   - Пожилой возраст не является противопоказанием для терапии оральными </w:t>
      </w:r>
      <w:proofErr w:type="spellStart"/>
      <w:r w:rsidRPr="008E3FFB">
        <w:rPr>
          <w:rFonts w:ascii="Times New Roman" w:eastAsia="Calibri" w:hAnsi="Times New Roman" w:cs="Times New Roman"/>
          <w:sz w:val="24"/>
          <w:szCs w:val="26"/>
        </w:rPr>
        <w:t>аникоагулянтами</w:t>
      </w:r>
      <w:proofErr w:type="spellEnd"/>
    </w:p>
    <w:p w:rsidR="008E3FFB" w:rsidRPr="008E3FFB" w:rsidRDefault="008E3FFB" w:rsidP="008E3FFB">
      <w:pPr>
        <w:spacing w:after="0"/>
        <w:jc w:val="both"/>
        <w:rPr>
          <w:rFonts w:ascii="Times New Roman" w:eastAsia="Calibri" w:hAnsi="Times New Roman" w:cs="Times New Roman"/>
        </w:rPr>
      </w:pPr>
      <w:r w:rsidRPr="008E3FFB">
        <w:rPr>
          <w:rFonts w:ascii="Times New Roman" w:eastAsia="Calibri" w:hAnsi="Times New Roman" w:cs="Times New Roman"/>
          <w:b/>
          <w:bCs/>
          <w:sz w:val="24"/>
          <w:szCs w:val="26"/>
        </w:rPr>
        <w:t>(</w:t>
      </w:r>
      <w:r w:rsidRPr="008E3FFB">
        <w:rPr>
          <w:rFonts w:ascii="Times New Roman" w:eastAsia="Calibri" w:hAnsi="Times New Roman" w:cs="Times New Roman"/>
          <w:bCs/>
          <w:sz w:val="24"/>
          <w:szCs w:val="26"/>
        </w:rPr>
        <w:t>Класс I, уровень А).</w:t>
      </w:r>
      <w:r w:rsidRPr="008E3FFB">
        <w:rPr>
          <w:rFonts w:ascii="Times New Roman" w:eastAsia="Calibri" w:hAnsi="Times New Roman" w:cs="Times New Roman"/>
          <w:bCs/>
          <w:sz w:val="24"/>
          <w:szCs w:val="26"/>
          <w:vertAlign w:val="superscript"/>
        </w:rPr>
        <w:t>1; 3</w:t>
      </w:r>
    </w:p>
    <w:p w:rsidR="008E3FFB" w:rsidRDefault="008E3FFB" w:rsidP="008E3FFB">
      <w:pPr>
        <w:spacing w:after="0"/>
        <w:rPr>
          <w:rFonts w:ascii="Times New Roman" w:eastAsia="Calibri" w:hAnsi="Times New Roman" w:cs="Times New Roman"/>
          <w:sz w:val="24"/>
        </w:rPr>
      </w:pPr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sz w:val="24"/>
        </w:rPr>
      </w:pPr>
      <w:bookmarkStart w:id="0" w:name="_GoBack"/>
      <w:bookmarkEnd w:id="0"/>
    </w:p>
    <w:p w:rsidR="008E3FFB" w:rsidRPr="008E3FFB" w:rsidRDefault="008E3FFB" w:rsidP="008E3FFB">
      <w:pPr>
        <w:spacing w:after="0"/>
        <w:rPr>
          <w:rFonts w:ascii="Times New Roman" w:eastAsia="Calibri" w:hAnsi="Times New Roman" w:cs="Times New Roman"/>
          <w:b/>
          <w:sz w:val="28"/>
          <w:u w:val="single"/>
        </w:rPr>
      </w:pPr>
      <w:r w:rsidRPr="008E3FFB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9F72810" wp14:editId="29C8CE3F">
            <wp:extent cx="209550" cy="209550"/>
            <wp:effectExtent l="0" t="0" r="0" b="0"/>
            <wp:docPr id="1158" name="Рисунок 1158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FFB">
        <w:rPr>
          <w:rFonts w:ascii="Times New Roman" w:eastAsia="Calibri" w:hAnsi="Times New Roman" w:cs="Times New Roman"/>
        </w:rPr>
        <w:t xml:space="preserve">  </w:t>
      </w:r>
      <w:proofErr w:type="spellStart"/>
      <w:r w:rsidRPr="008E3FFB">
        <w:rPr>
          <w:rFonts w:ascii="Times New Roman" w:eastAsia="Calibri" w:hAnsi="Times New Roman" w:cs="Times New Roman"/>
          <w:b/>
          <w:sz w:val="28"/>
          <w:u w:val="single"/>
        </w:rPr>
        <w:t>Гиполипидемическая</w:t>
      </w:r>
      <w:proofErr w:type="spellEnd"/>
      <w:r w:rsidRPr="008E3FFB">
        <w:rPr>
          <w:rFonts w:ascii="Times New Roman" w:eastAsia="Calibri" w:hAnsi="Times New Roman" w:cs="Times New Roman"/>
          <w:b/>
          <w:sz w:val="28"/>
          <w:u w:val="single"/>
        </w:rPr>
        <w:t xml:space="preserve"> терапия</w:t>
      </w:r>
    </w:p>
    <w:p w:rsidR="00DB2E0F" w:rsidRPr="008E3FFB" w:rsidRDefault="00DB2E0F" w:rsidP="008E3FFB">
      <w:pPr>
        <w:rPr>
          <w:rFonts w:ascii="Times New Roman" w:hAnsi="Times New Roman" w:cs="Times New Roman"/>
        </w:rPr>
      </w:pPr>
    </w:p>
    <w:sectPr w:rsidR="00DB2E0F" w:rsidRPr="008E3FFB" w:rsidSect="008E3FFB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06"/>
    <w:rsid w:val="008E3FFB"/>
    <w:rsid w:val="00CA3A06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C65DF-4E04-4551-91DE-8D5DA09D5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3FFB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F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2022-09-03T13:00:00Z</dcterms:created>
  <dcterms:modified xsi:type="dcterms:W3CDTF">2022-09-03T13:02:00Z</dcterms:modified>
</cp:coreProperties>
</file>