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C76" w:rsidRPr="007F6C76" w:rsidRDefault="007F6C76" w:rsidP="007F6C76">
      <w:pPr>
        <w:shd w:val="clear" w:color="auto" w:fill="F7CAAC" w:themeFill="accent2" w:themeFillTint="66"/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SimSun" w:hAnsi="Times New Roman" w:cs="Times New Roman"/>
          <w:b/>
          <w:bCs/>
          <w:kern w:val="1"/>
          <w:sz w:val="28"/>
          <w:szCs w:val="24"/>
          <w:lang w:eastAsia="hi-IN" w:bidi="hi-IN"/>
        </w:rPr>
        <w:t>АНТИАГРЕГАНТНАЯ ТЕРАПИЯ</w:t>
      </w:r>
    </w:p>
    <w:p w:rsidR="007F6C76" w:rsidRDefault="007F6C76" w:rsidP="007F6C76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E2A0EF" wp14:editId="6944CE08">
            <wp:extent cx="5760000" cy="3239999"/>
            <wp:effectExtent l="190500" t="190500" r="184150" b="189230"/>
            <wp:docPr id="1120" name="Рисунок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9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F6C76" w:rsidRPr="007F6C76" w:rsidRDefault="007F6C76" w:rsidP="007F6C76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FA1079D" wp14:editId="2FADCB6E">
            <wp:extent cx="838200" cy="219075"/>
            <wp:effectExtent l="0" t="0" r="0" b="9525"/>
            <wp:docPr id="1121" name="Рисунок 1121" descr="C:\Users\katam\AppData\Local\Microsoft\Windows\INetCache\Content.Word\Назад к списк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atam\AppData\Local\Microsoft\Windows\INetCache\Content.Word\Назад к списку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b/>
          <w:sz w:val="24"/>
          <w:szCs w:val="24"/>
        </w:rPr>
        <w:t>Кнопка «Назад к списку»</w:t>
      </w: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- для возврата к спискам видов терапии. 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7F6C76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39621A0C" wp14:editId="038E0518">
            <wp:extent cx="406596" cy="360000"/>
            <wp:effectExtent l="0" t="0" r="0" b="2540"/>
            <wp:docPr id="743" name="Рисунок 743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6C76">
        <w:rPr>
          <w:rFonts w:ascii="Times New Roman" w:eastAsia="Calibri" w:hAnsi="Times New Roman" w:cs="Times New Roman"/>
          <w:sz w:val="24"/>
        </w:rPr>
        <w:t xml:space="preserve">  </w:t>
      </w:r>
      <w:r w:rsidRPr="007F6C76">
        <w:rPr>
          <w:rFonts w:ascii="Times New Roman" w:eastAsia="Calibri" w:hAnsi="Times New Roman" w:cs="Times New Roman"/>
          <w:b/>
          <w:sz w:val="24"/>
        </w:rPr>
        <w:t>Сноски на источник.</w:t>
      </w:r>
      <w:r w:rsidRPr="007F6C76">
        <w:rPr>
          <w:rFonts w:ascii="Times New Roman" w:eastAsia="Calibri" w:hAnsi="Times New Roman" w:cs="Times New Roman"/>
          <w:sz w:val="24"/>
        </w:rPr>
        <w:t xml:space="preserve"> </w:t>
      </w:r>
    </w:p>
    <w:p w:rsidR="007F6C76" w:rsidRPr="007F6C76" w:rsidRDefault="007F6C76" w:rsidP="007F6C76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7F6C76">
        <w:rPr>
          <w:rFonts w:ascii="Times New Roman" w:eastAsia="Calibri" w:hAnsi="Times New Roman" w:cs="Times New Roman"/>
          <w:sz w:val="24"/>
        </w:rPr>
        <w:t>При наведении курсора на сноску на источник, открывается окно с текстом – описанием источников. При уводе курсора окно закрывается. Ознакомится со всеми источниками можно в разделе 26. Список литературы руководства пользователя.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:rsidR="007F6C76" w:rsidRPr="007F6C76" w:rsidRDefault="007F6C76" w:rsidP="007F6C76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7F6C76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7A662F2D" wp14:editId="3D2CB9CC">
            <wp:extent cx="406596" cy="360000"/>
            <wp:effectExtent l="0" t="0" r="0" b="2540"/>
            <wp:docPr id="139" name="Рисунок 139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6C76">
        <w:rPr>
          <w:rFonts w:ascii="Times New Roman" w:eastAsia="Calibri" w:hAnsi="Times New Roman" w:cs="Times New Roman"/>
          <w:i/>
          <w:sz w:val="24"/>
        </w:rPr>
        <w:t xml:space="preserve">  </w:t>
      </w:r>
      <w:r w:rsidRPr="007F6C76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  <w:r w:rsidRPr="007F6C76">
        <w:rPr>
          <w:rFonts w:ascii="Times New Roman" w:eastAsia="Calibri" w:hAnsi="Times New Roman" w:cs="Times New Roman"/>
          <w:i/>
          <w:sz w:val="24"/>
        </w:rPr>
        <w:t xml:space="preserve"> или </w:t>
      </w:r>
      <w:r w:rsidRPr="007F6C76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  <w:r w:rsidRPr="007F6C76">
        <w:rPr>
          <w:rFonts w:ascii="Times New Roman" w:eastAsia="Calibri" w:hAnsi="Times New Roman" w:cs="Times New Roman"/>
          <w:i/>
          <w:sz w:val="24"/>
        </w:rPr>
        <w:t xml:space="preserve"> </w:t>
      </w:r>
    </w:p>
    <w:p w:rsidR="007F6C76" w:rsidRPr="007F6C76" w:rsidRDefault="007F6C76" w:rsidP="007F6C76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7F6C76">
        <w:rPr>
          <w:rFonts w:ascii="Times New Roman" w:eastAsia="Calibri" w:hAnsi="Times New Roman" w:cs="Times New Roman"/>
          <w:sz w:val="24"/>
        </w:rPr>
        <w:t>П</w:t>
      </w:r>
      <w:r w:rsidRPr="007F6C76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 xml:space="preserve">ри клике по заголовку - ссылке «Комментарий» или «Рекомендации», открывается текст комментария или рекомендации соответственно </w:t>
      </w:r>
      <w:r w:rsidRPr="007F6C76">
        <w:rPr>
          <w:rFonts w:ascii="Times New Roman" w:eastAsia="Calibri" w:hAnsi="Times New Roman" w:cs="Times New Roman"/>
          <w:sz w:val="24"/>
        </w:rPr>
        <w:t xml:space="preserve">(везде далее - аналогично).  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i/>
          <w:color w:val="0070C0"/>
          <w:sz w:val="24"/>
          <w:szCs w:val="24"/>
        </w:rPr>
      </w:pPr>
    </w:p>
    <w:p w:rsidR="007F6C76" w:rsidRPr="007F6C76" w:rsidRDefault="007F6C76" w:rsidP="007F6C76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4"/>
        </w:rPr>
      </w:pPr>
      <w:r w:rsidRPr="007F6C76">
        <w:rPr>
          <w:rFonts w:ascii="Times New Roman" w:eastAsia="Calibri" w:hAnsi="Times New Roman" w:cs="Times New Roman"/>
          <w:b/>
          <w:sz w:val="28"/>
          <w:szCs w:val="24"/>
        </w:rPr>
        <w:t>АНТИАГРЕГАНТНАЯ ТЕРАПИЯ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4"/>
        </w:rPr>
      </w:pPr>
      <w:r w:rsidRPr="007F6C76">
        <w:rPr>
          <w:rFonts w:ascii="Times New Roman" w:eastAsia="Calibri" w:hAnsi="Times New Roman" w:cs="Times New Roman"/>
          <w:b/>
          <w:sz w:val="28"/>
          <w:szCs w:val="24"/>
        </w:rPr>
        <w:t>Лекарственные препараты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  <w:vertAlign w:val="superscript"/>
        </w:rPr>
      </w:pPr>
      <w:r w:rsidRPr="007F6C76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7E0A90A" wp14:editId="00C1CDFC">
            <wp:extent cx="207010" cy="207010"/>
            <wp:effectExtent l="0" t="0" r="2540" b="2540"/>
            <wp:docPr id="1124" name="Рисунок 1124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7F6C76">
        <w:rPr>
          <w:rFonts w:ascii="Times New Roman" w:eastAsia="Calibri" w:hAnsi="Times New Roman" w:cs="Times New Roman"/>
          <w:b/>
          <w:sz w:val="24"/>
          <w:szCs w:val="24"/>
        </w:rPr>
        <w:t>Ацетилсалициловая кислота (аспирин)</w:t>
      </w:r>
      <w:r w:rsidRPr="007F6C76">
        <w:rPr>
          <w:rFonts w:ascii="Times New Roman" w:eastAsia="Calibri" w:hAnsi="Times New Roman" w:cs="Times New Roman"/>
          <w:b/>
          <w:sz w:val="24"/>
          <w:szCs w:val="24"/>
          <w:vertAlign w:val="superscript"/>
        </w:rPr>
        <w:t>1;3</w:t>
      </w:r>
      <w:r w:rsidRPr="007F6C7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       в дозе от 75 до 325 мг в сутки</w:t>
      </w:r>
      <w:r w:rsidRPr="007F6C76">
        <w:rPr>
          <w:rFonts w:ascii="Times New Roman" w:eastAsia="Calibri" w:hAnsi="Times New Roman" w:cs="Times New Roman"/>
          <w:sz w:val="24"/>
          <w:szCs w:val="26"/>
          <w:vertAlign w:val="superscript"/>
        </w:rPr>
        <w:t xml:space="preserve">1 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7F6C76">
        <w:rPr>
          <w:rFonts w:ascii="Times New Roman" w:eastAsia="Calibri" w:hAnsi="Times New Roman" w:cs="Times New Roman"/>
          <w:i/>
          <w:sz w:val="24"/>
          <w:szCs w:val="24"/>
          <w:u w:val="single"/>
        </w:rPr>
        <w:t>Рекомендации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sz w:val="24"/>
          <w:szCs w:val="24"/>
        </w:rPr>
        <w:t>- рекомендуется для вторичной профилактики ИИ</w:t>
      </w:r>
      <w:r w:rsidRPr="007F6C76">
        <w:rPr>
          <w:rFonts w:ascii="Times New Roman" w:eastAsia="Calibri" w:hAnsi="Times New Roman" w:cs="Times New Roman"/>
          <w:sz w:val="24"/>
          <w:szCs w:val="24"/>
          <w:vertAlign w:val="superscript"/>
        </w:rPr>
        <w:t>1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7F6C76">
        <w:rPr>
          <w:rFonts w:ascii="Times New Roman" w:eastAsia="Calibri" w:hAnsi="Times New Roman" w:cs="Times New Roman"/>
          <w:i/>
          <w:sz w:val="24"/>
          <w:szCs w:val="24"/>
          <w:u w:val="single"/>
        </w:rPr>
        <w:t>Комментарий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  - прием аспирина снижает риск сосудистых событий независимо от дозы (от 50 до 1300 мг в сутки), хотя высокие дозы (более 150 мг в сутки) увеличивают риск побочных эффектов. У больных с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симптомным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атеросклерозом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интракраниальных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артерий прием аспирина так же эффективен, как и терапия оральными антикоагулянтами, и сопровождается меньшими осложнениями.</w:t>
      </w:r>
      <w:r w:rsidRPr="007F6C76">
        <w:rPr>
          <w:rFonts w:ascii="Times New Roman" w:eastAsia="Calibri" w:hAnsi="Times New Roman" w:cs="Times New Roman"/>
          <w:sz w:val="24"/>
          <w:szCs w:val="24"/>
          <w:vertAlign w:val="superscript"/>
        </w:rPr>
        <w:t>3</w:t>
      </w:r>
    </w:p>
    <w:p w:rsidR="007F6C76" w:rsidRPr="007F6C76" w:rsidRDefault="007F6C76" w:rsidP="007F6C76">
      <w:pPr>
        <w:suppressAutoHyphens/>
        <w:spacing w:after="0"/>
        <w:jc w:val="both"/>
        <w:rPr>
          <w:rFonts w:ascii="Times New Roman" w:eastAsia="SimSun" w:hAnsi="Times New Roman" w:cs="Times New Roman"/>
          <w:color w:val="000000"/>
          <w:kern w:val="1"/>
          <w:sz w:val="24"/>
          <w:szCs w:val="24"/>
          <w:lang w:eastAsia="hi-IN" w:bidi="hi-IN"/>
        </w:rPr>
      </w:pPr>
      <w:r w:rsidRPr="007F6C76">
        <w:rPr>
          <w:rFonts w:ascii="Times New Roman" w:eastAsia="SimSun" w:hAnsi="Times New Roman" w:cs="Times New Roman"/>
          <w:color w:val="000000"/>
          <w:kern w:val="1"/>
          <w:sz w:val="24"/>
          <w:szCs w:val="24"/>
          <w:lang w:eastAsia="hi-IN" w:bidi="hi-IN"/>
        </w:rPr>
        <w:lastRenderedPageBreak/>
        <w:t xml:space="preserve">   - для пациентов с </w:t>
      </w:r>
      <w:proofErr w:type="spellStart"/>
      <w:r w:rsidRPr="007F6C76">
        <w:rPr>
          <w:rFonts w:ascii="Times New Roman" w:eastAsia="SimSun" w:hAnsi="Times New Roman" w:cs="Times New Roman"/>
          <w:color w:val="000000"/>
          <w:kern w:val="1"/>
          <w:sz w:val="24"/>
          <w:szCs w:val="24"/>
          <w:lang w:eastAsia="hi-IN" w:bidi="hi-IN"/>
        </w:rPr>
        <w:t>некардиоэмболическим</w:t>
      </w:r>
      <w:proofErr w:type="spellEnd"/>
      <w:r w:rsidRPr="007F6C76">
        <w:rPr>
          <w:rFonts w:ascii="Times New Roman" w:eastAsia="SimSun" w:hAnsi="Times New Roman" w:cs="Times New Roman"/>
          <w:color w:val="000000"/>
          <w:kern w:val="1"/>
          <w:sz w:val="24"/>
          <w:szCs w:val="24"/>
          <w:lang w:eastAsia="hi-IN" w:bidi="hi-IN"/>
        </w:rPr>
        <w:t xml:space="preserve"> острым ишемическим инсультом дополнительные преимущества от увеличения объема принимаемой ацетилсалициловой кислоты или выбор в пользу другого </w:t>
      </w:r>
      <w:proofErr w:type="spellStart"/>
      <w:r w:rsidRPr="007F6C76">
        <w:rPr>
          <w:rFonts w:ascii="Times New Roman" w:eastAsia="SimSun" w:hAnsi="Times New Roman" w:cs="Times New Roman"/>
          <w:color w:val="000000"/>
          <w:kern w:val="1"/>
          <w:sz w:val="24"/>
          <w:szCs w:val="24"/>
          <w:lang w:eastAsia="hi-IN" w:bidi="hi-IN"/>
        </w:rPr>
        <w:t>антитромбоцитарного</w:t>
      </w:r>
      <w:proofErr w:type="spellEnd"/>
      <w:r w:rsidRPr="007F6C76">
        <w:rPr>
          <w:rFonts w:ascii="Times New Roman" w:eastAsia="SimSun" w:hAnsi="Times New Roman" w:cs="Times New Roman"/>
          <w:color w:val="000000"/>
          <w:kern w:val="1"/>
          <w:sz w:val="24"/>
          <w:szCs w:val="24"/>
          <w:lang w:eastAsia="hi-IN" w:bidi="hi-IN"/>
        </w:rPr>
        <w:t xml:space="preserve"> средства не установлены. (</w:t>
      </w:r>
      <w:proofErr w:type="spellStart"/>
      <w:r w:rsidRPr="007F6C76">
        <w:rPr>
          <w:rFonts w:ascii="Times New Roman" w:eastAsia="SimSun" w:hAnsi="Times New Roman" w:cs="Times New Roman"/>
          <w:color w:val="000000"/>
          <w:kern w:val="1"/>
          <w:sz w:val="24"/>
          <w:szCs w:val="24"/>
          <w:lang w:eastAsia="hi-IN" w:bidi="hi-IN"/>
        </w:rPr>
        <w:t>IIb</w:t>
      </w:r>
      <w:proofErr w:type="spellEnd"/>
      <w:r w:rsidRPr="007F6C76">
        <w:rPr>
          <w:rFonts w:ascii="Times New Roman" w:eastAsia="SimSun" w:hAnsi="Times New Roman" w:cs="Times New Roman"/>
          <w:color w:val="000000"/>
          <w:kern w:val="1"/>
          <w:sz w:val="24"/>
          <w:szCs w:val="24"/>
          <w:lang w:eastAsia="hi-IN" w:bidi="hi-IN"/>
        </w:rPr>
        <w:t>; B-R)</w:t>
      </w:r>
      <w:r w:rsidRPr="007F6C76">
        <w:rPr>
          <w:rFonts w:ascii="Times New Roman" w:eastAsia="SimSun" w:hAnsi="Times New Roman" w:cs="Times New Roman"/>
          <w:color w:val="000000"/>
          <w:kern w:val="1"/>
          <w:sz w:val="24"/>
          <w:szCs w:val="24"/>
          <w:vertAlign w:val="superscript"/>
          <w:lang w:eastAsia="hi-IN" w:bidi="hi-IN"/>
        </w:rPr>
        <w:t>4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Cs w:val="24"/>
          <w:vertAlign w:val="superscript"/>
        </w:rPr>
      </w:pPr>
    </w:p>
    <w:tbl>
      <w:tblPr>
        <w:tblStyle w:val="410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7F6C76" w:rsidRPr="007F6C76" w:rsidTr="00C70B9F">
        <w:tc>
          <w:tcPr>
            <w:tcW w:w="10177" w:type="dxa"/>
          </w:tcPr>
          <w:p w:rsidR="007F6C76" w:rsidRPr="007F6C76" w:rsidRDefault="007F6C76" w:rsidP="007F6C76">
            <w:pPr>
              <w:rPr>
                <w:rFonts w:eastAsia="Times New Roman"/>
                <w:color w:val="A6A6A6"/>
                <w:szCs w:val="24"/>
                <w:lang w:val="en-US"/>
              </w:rPr>
            </w:pPr>
            <w:proofErr w:type="spellStart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>Шаблон</w:t>
            </w:r>
            <w:proofErr w:type="spellEnd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 xml:space="preserve"> </w:t>
            </w:r>
            <w:proofErr w:type="spellStart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>назначения</w:t>
            </w:r>
            <w:proofErr w:type="spellEnd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 xml:space="preserve"> ЛС</w:t>
            </w:r>
          </w:p>
          <w:p w:rsidR="007F6C76" w:rsidRPr="007F6C76" w:rsidRDefault="007F6C76" w:rsidP="007F6C76">
            <w:pPr>
              <w:rPr>
                <w:rFonts w:eastAsia="Times New Roman"/>
                <w:szCs w:val="24"/>
                <w:lang w:val="en-US"/>
              </w:rPr>
            </w:pPr>
          </w:p>
        </w:tc>
      </w:tr>
    </w:tbl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i/>
          <w:color w:val="0070C0"/>
          <w:sz w:val="24"/>
          <w:szCs w:val="24"/>
        </w:rPr>
      </w:pPr>
      <w:r w:rsidRPr="007F6C76">
        <w:rPr>
          <w:rFonts w:ascii="Times New Roman" w:eastAsia="Calibri" w:hAnsi="Times New Roman" w:cs="Times New Roman"/>
          <w:b/>
          <w:sz w:val="24"/>
          <w:szCs w:val="24"/>
        </w:rPr>
        <w:t xml:space="preserve">Шаблон назначения ЛС </w:t>
      </w:r>
      <w:r w:rsidRPr="007F6C76">
        <w:rPr>
          <w:rFonts w:ascii="Times New Roman" w:eastAsia="Calibri" w:hAnsi="Times New Roman" w:cs="Times New Roman"/>
          <w:i/>
          <w:sz w:val="24"/>
        </w:rPr>
        <w:t>(далее - аналогично)</w:t>
      </w:r>
      <w:r w:rsidRPr="007F6C76">
        <w:rPr>
          <w:rFonts w:ascii="Times New Roman" w:eastAsia="Calibri" w:hAnsi="Times New Roman" w:cs="Times New Roman"/>
          <w:b/>
          <w:sz w:val="24"/>
        </w:rPr>
        <w:t>.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В шаблон вписывается название ЛС, дозировки и другие данные на усмотрение специалиста. Внесенные данные сохраняются в качестве шаблона (отображаются в личных кабинетах всех пациентов) с возможностью дальнейшего редактирования. 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sz w:val="24"/>
          <w:szCs w:val="24"/>
        </w:rPr>
        <w:t>При нажатии на кнопку</w:t>
      </w:r>
      <w:r w:rsidRPr="007F6C76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«+»</w:t>
      </w: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, в программу индивидуализированной вторичной профилактики повторного сосудистого события пациента (в личный кабинет которого осуществлен вход), в раздел «Медикаментозная терапия» </w:t>
      </w:r>
      <w:r w:rsidRPr="007F6C76">
        <w:rPr>
          <w:rFonts w:ascii="Times New Roman" w:eastAsia="Calibri" w:hAnsi="Times New Roman" w:cs="Times New Roman"/>
          <w:szCs w:val="24"/>
        </w:rPr>
        <w:t>добавляется</w:t>
      </w:r>
      <w:r w:rsidRPr="007F6C76">
        <w:rPr>
          <w:rFonts w:ascii="Times New Roman" w:eastAsia="Calibri" w:hAnsi="Times New Roman" w:cs="Times New Roman"/>
          <w:sz w:val="24"/>
          <w:szCs w:val="24"/>
        </w:rPr>
        <w:t>: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7F6C76">
        <w:rPr>
          <w:rFonts w:ascii="Times New Roman" w:eastAsia="Calibri" w:hAnsi="Times New Roman" w:cs="Times New Roman"/>
          <w:color w:val="0070C0"/>
          <w:sz w:val="24"/>
          <w:szCs w:val="24"/>
        </w:rPr>
        <w:t>Дата. Название терапии</w:t>
      </w:r>
      <w:r w:rsidRPr="007F6C76">
        <w:rPr>
          <w:rFonts w:ascii="Times New Roman" w:eastAsia="Calibri" w:hAnsi="Times New Roman" w:cs="Times New Roman"/>
          <w:i/>
          <w:color w:val="0070C0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i/>
          <w:sz w:val="24"/>
          <w:szCs w:val="24"/>
        </w:rPr>
        <w:t>(в данном примере «</w:t>
      </w:r>
      <w:proofErr w:type="spellStart"/>
      <w:r w:rsidRPr="007F6C76">
        <w:rPr>
          <w:rFonts w:ascii="Times New Roman" w:eastAsia="Calibri" w:hAnsi="Times New Roman" w:cs="Times New Roman"/>
          <w:i/>
          <w:sz w:val="24"/>
          <w:szCs w:val="24"/>
        </w:rPr>
        <w:t>Антиагрегантная</w:t>
      </w:r>
      <w:proofErr w:type="spellEnd"/>
      <w:r w:rsidRPr="007F6C76">
        <w:rPr>
          <w:rFonts w:ascii="Times New Roman" w:eastAsia="Calibri" w:hAnsi="Times New Roman" w:cs="Times New Roman"/>
          <w:i/>
          <w:sz w:val="24"/>
          <w:szCs w:val="24"/>
        </w:rPr>
        <w:t xml:space="preserve"> терапия»)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7F6C76">
        <w:rPr>
          <w:rFonts w:ascii="Times New Roman" w:eastAsia="Calibri" w:hAnsi="Times New Roman" w:cs="Times New Roman"/>
          <w:color w:val="0070C0"/>
          <w:sz w:val="24"/>
          <w:szCs w:val="24"/>
        </w:rPr>
        <w:t>Заголовок пункта, в котором нажата кнопка «+»</w:t>
      </w:r>
      <w:r w:rsidRPr="007F6C76">
        <w:rPr>
          <w:rFonts w:ascii="Times New Roman" w:eastAsia="Calibri" w:hAnsi="Times New Roman" w:cs="Times New Roman"/>
          <w:i/>
          <w:color w:val="0070C0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i/>
          <w:sz w:val="24"/>
          <w:szCs w:val="24"/>
        </w:rPr>
        <w:t>(в данном примере «Ацетилсалициловая кислота (аспирин)»)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color w:val="0070C0"/>
          <w:szCs w:val="24"/>
        </w:rPr>
      </w:pPr>
      <w:r w:rsidRPr="007F6C76">
        <w:rPr>
          <w:rFonts w:ascii="Times New Roman" w:eastAsia="Calibri" w:hAnsi="Times New Roman" w:cs="Times New Roman"/>
          <w:color w:val="0070C0"/>
          <w:sz w:val="24"/>
          <w:szCs w:val="24"/>
        </w:rPr>
        <w:t>Содержимое шаблона назначения.</w:t>
      </w:r>
    </w:p>
    <w:p w:rsidR="007F6C76" w:rsidRPr="007F6C76" w:rsidRDefault="007F6C76" w:rsidP="007F6C76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i/>
          <w:sz w:val="24"/>
          <w:lang w:eastAsia="ru-RU"/>
        </w:rPr>
      </w:pPr>
      <w:r w:rsidRPr="007F6C76">
        <w:rPr>
          <w:rFonts w:ascii="Times New Roman" w:eastAsia="Calibri" w:hAnsi="Times New Roman" w:cs="Times New Roman"/>
          <w:i/>
          <w:sz w:val="24"/>
          <w:szCs w:val="28"/>
        </w:rPr>
        <w:t xml:space="preserve">Перенесенные данные доступны для редактирования </w:t>
      </w:r>
      <w:r w:rsidRPr="007F6C76">
        <w:rPr>
          <w:rFonts w:ascii="Times New Roman" w:hAnsi="Times New Roman" w:cs="Times New Roman"/>
          <w:i/>
          <w:sz w:val="24"/>
          <w:lang w:eastAsia="ru-RU"/>
        </w:rPr>
        <w:t>(добавления, удаления) путем установки курсора и ввода с клавиатуры.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7F6C76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07FF03" wp14:editId="1BCECDFD">
            <wp:extent cx="207010" cy="207010"/>
            <wp:effectExtent l="0" t="0" r="2540" b="2540"/>
            <wp:docPr id="1126" name="Рисунок 1126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i/>
          <w:color w:val="0070C0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b/>
          <w:sz w:val="26"/>
          <w:szCs w:val="26"/>
        </w:rPr>
        <w:t>Тиклопидин</w:t>
      </w:r>
      <w:r w:rsidRPr="007F6C76">
        <w:rPr>
          <w:rFonts w:ascii="Times New Roman" w:eastAsia="Calibri" w:hAnsi="Times New Roman" w:cs="Times New Roman"/>
          <w:b/>
          <w:sz w:val="26"/>
          <w:szCs w:val="26"/>
          <w:vertAlign w:val="superscript"/>
        </w:rPr>
        <w:t>1;2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       применяется по 250 мг 2 раза</w:t>
      </w:r>
      <w:r w:rsidRPr="007F6C76">
        <w:rPr>
          <w:rFonts w:ascii="Times New Roman" w:eastAsia="Calibri" w:hAnsi="Times New Roman" w:cs="Times New Roman"/>
          <w:sz w:val="24"/>
          <w:szCs w:val="24"/>
          <w:vertAlign w:val="superscript"/>
        </w:rPr>
        <w:t>1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7F6C76">
        <w:rPr>
          <w:rFonts w:ascii="Times New Roman" w:eastAsia="Calibri" w:hAnsi="Times New Roman" w:cs="Times New Roman"/>
          <w:i/>
          <w:sz w:val="24"/>
          <w:szCs w:val="24"/>
          <w:u w:val="single"/>
        </w:rPr>
        <w:t>Комментарий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  - не имеет достоверных преимуществ над аспирином. При приеме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6"/>
        </w:rPr>
        <w:t>тиклопидина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требуется регулярный контроль общего анализа крови (каждые 2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6"/>
        </w:rPr>
        <w:t>нед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6"/>
        </w:rPr>
        <w:t>. в течение первых 3 мес. лечения) и отмена препарата при развитии нейтропении.</w:t>
      </w:r>
      <w:r w:rsidRPr="007F6C76">
        <w:rPr>
          <w:rFonts w:ascii="Times New Roman" w:eastAsia="Calibri" w:hAnsi="Times New Roman" w:cs="Times New Roman"/>
          <w:sz w:val="24"/>
          <w:szCs w:val="26"/>
          <w:vertAlign w:val="superscript"/>
        </w:rPr>
        <w:t>1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  -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6"/>
        </w:rPr>
        <w:t>Тиклопидин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почти не уступает в эффективности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6"/>
        </w:rPr>
        <w:t>клопидогрелу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6"/>
        </w:rPr>
        <w:t>, однако токсическое влияние на кровь резко ограничивает его использование.</w:t>
      </w:r>
      <w:r w:rsidRPr="007F6C76">
        <w:rPr>
          <w:rFonts w:ascii="Times New Roman" w:eastAsia="Calibri" w:hAnsi="Times New Roman" w:cs="Times New Roman"/>
          <w:sz w:val="24"/>
          <w:szCs w:val="26"/>
          <w:vertAlign w:val="superscript"/>
        </w:rPr>
        <w:t>2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410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7F6C76" w:rsidRPr="007F6C76" w:rsidTr="00C70B9F">
        <w:tc>
          <w:tcPr>
            <w:tcW w:w="10177" w:type="dxa"/>
          </w:tcPr>
          <w:p w:rsidR="007F6C76" w:rsidRPr="007F6C76" w:rsidRDefault="007F6C76" w:rsidP="007F6C76">
            <w:pPr>
              <w:rPr>
                <w:rFonts w:eastAsia="Times New Roman"/>
                <w:color w:val="A6A6A6"/>
                <w:szCs w:val="24"/>
                <w:lang w:val="en-US"/>
              </w:rPr>
            </w:pPr>
            <w:proofErr w:type="spellStart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>Шаблон</w:t>
            </w:r>
            <w:proofErr w:type="spellEnd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 xml:space="preserve"> </w:t>
            </w:r>
            <w:proofErr w:type="spellStart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>назначения</w:t>
            </w:r>
            <w:proofErr w:type="spellEnd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 xml:space="preserve"> ЛС</w:t>
            </w:r>
          </w:p>
          <w:p w:rsidR="007F6C76" w:rsidRPr="007F6C76" w:rsidRDefault="007F6C76" w:rsidP="007F6C76">
            <w:pPr>
              <w:rPr>
                <w:rFonts w:eastAsia="Times New Roman"/>
                <w:szCs w:val="24"/>
                <w:lang w:val="en-US"/>
              </w:rPr>
            </w:pPr>
          </w:p>
        </w:tc>
      </w:tr>
    </w:tbl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b/>
          <w:sz w:val="24"/>
          <w:szCs w:val="26"/>
        </w:rPr>
      </w:pPr>
      <w:r w:rsidRPr="007F6C76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7C13537" wp14:editId="7A23806A">
            <wp:extent cx="207010" cy="207010"/>
            <wp:effectExtent l="0" t="0" r="2540" b="2540"/>
            <wp:docPr id="1127" name="Рисунок 1127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i/>
          <w:color w:val="0070C0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b/>
          <w:sz w:val="24"/>
          <w:szCs w:val="26"/>
        </w:rPr>
        <w:t>Клопидогрел</w:t>
      </w:r>
      <w:r w:rsidRPr="007F6C76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 xml:space="preserve">1 </w:t>
      </w:r>
      <w:r w:rsidRPr="007F6C76">
        <w:rPr>
          <w:rFonts w:ascii="Times New Roman" w:eastAsia="Calibri" w:hAnsi="Times New Roman" w:cs="Times New Roman"/>
          <w:b/>
          <w:sz w:val="24"/>
          <w:szCs w:val="26"/>
        </w:rPr>
        <w:t>(Клопидогрель</w:t>
      </w:r>
      <w:r w:rsidRPr="007F6C76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>3</w:t>
      </w:r>
      <w:r w:rsidRPr="007F6C76">
        <w:rPr>
          <w:rFonts w:ascii="Times New Roman" w:eastAsia="Calibri" w:hAnsi="Times New Roman" w:cs="Times New Roman"/>
          <w:b/>
          <w:sz w:val="24"/>
          <w:szCs w:val="26"/>
        </w:rPr>
        <w:t>)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6"/>
        </w:rPr>
      </w:pPr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       применяется по 75 мг в сутки</w:t>
      </w:r>
      <w:r w:rsidRPr="007F6C76">
        <w:rPr>
          <w:rFonts w:ascii="Times New Roman" w:eastAsia="Calibri" w:hAnsi="Times New Roman" w:cs="Times New Roman"/>
          <w:sz w:val="24"/>
          <w:szCs w:val="26"/>
          <w:vertAlign w:val="superscript"/>
        </w:rPr>
        <w:t>1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7F6C76">
        <w:rPr>
          <w:rFonts w:ascii="Times New Roman" w:eastAsia="Calibri" w:hAnsi="Times New Roman" w:cs="Times New Roman"/>
          <w:i/>
          <w:sz w:val="24"/>
          <w:szCs w:val="24"/>
          <w:u w:val="single"/>
        </w:rPr>
        <w:t>Комментарий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  - Небольшое преимущество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клопидогрела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над аспирином наиболее значимо у больных с сахарным диабетом, клиническими проявлениями атеросклероза в разных сосудистых бассейнах.</w:t>
      </w:r>
      <w:r w:rsidRPr="007F6C76">
        <w:rPr>
          <w:rFonts w:ascii="Times New Roman" w:eastAsia="Calibri" w:hAnsi="Times New Roman" w:cs="Times New Roman"/>
          <w:sz w:val="24"/>
          <w:szCs w:val="24"/>
          <w:vertAlign w:val="superscript"/>
        </w:rPr>
        <w:t>1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  -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Клопидогрель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незначительно более эффективен по сравнению с аспирином в профилактике сосудистых событий (ОР 0,91; 95% ДИ 0,84–0,97) [319].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Клопидогрель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может быть более эффективен у пациентов с высоким сосудистым риском (с инсультом в анамнезе, атеросклерозом периферических артерий,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симптомным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поражением коронарных артерий или диабетом).</w:t>
      </w:r>
      <w:r w:rsidRPr="007F6C76">
        <w:rPr>
          <w:rFonts w:ascii="Times New Roman" w:eastAsia="Calibri" w:hAnsi="Times New Roman" w:cs="Times New Roman"/>
          <w:sz w:val="24"/>
          <w:szCs w:val="24"/>
          <w:vertAlign w:val="superscript"/>
        </w:rPr>
        <w:t>3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  <w:vertAlign w:val="superscript"/>
        </w:rPr>
      </w:pPr>
    </w:p>
    <w:tbl>
      <w:tblPr>
        <w:tblStyle w:val="410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7F6C76" w:rsidRPr="007F6C76" w:rsidTr="00C70B9F">
        <w:tc>
          <w:tcPr>
            <w:tcW w:w="10177" w:type="dxa"/>
          </w:tcPr>
          <w:p w:rsidR="007F6C76" w:rsidRPr="007F6C76" w:rsidRDefault="007F6C76" w:rsidP="007F6C76">
            <w:pPr>
              <w:rPr>
                <w:rFonts w:eastAsia="Times New Roman"/>
                <w:color w:val="A6A6A6"/>
                <w:szCs w:val="24"/>
                <w:lang w:val="en-US"/>
              </w:rPr>
            </w:pPr>
            <w:proofErr w:type="spellStart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>Шаблон</w:t>
            </w:r>
            <w:proofErr w:type="spellEnd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 xml:space="preserve"> </w:t>
            </w:r>
            <w:proofErr w:type="spellStart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>назначения</w:t>
            </w:r>
            <w:proofErr w:type="spellEnd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 xml:space="preserve"> ЛС</w:t>
            </w:r>
          </w:p>
          <w:p w:rsidR="007F6C76" w:rsidRPr="007F6C76" w:rsidRDefault="007F6C76" w:rsidP="007F6C76">
            <w:pPr>
              <w:rPr>
                <w:rFonts w:eastAsia="Times New Roman"/>
                <w:szCs w:val="24"/>
                <w:lang w:val="en-US"/>
              </w:rPr>
            </w:pPr>
          </w:p>
        </w:tc>
      </w:tr>
    </w:tbl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</w:pPr>
      <w:r w:rsidRPr="007F6C76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F026D93" wp14:editId="5B327F09">
            <wp:extent cx="207010" cy="207010"/>
            <wp:effectExtent l="0" t="0" r="2540" b="2540"/>
            <wp:docPr id="1128" name="Рисунок 1128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i/>
          <w:color w:val="0070C0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b/>
          <w:sz w:val="24"/>
          <w:szCs w:val="26"/>
        </w:rPr>
        <w:t xml:space="preserve">Комбинация </w:t>
      </w:r>
      <w:proofErr w:type="spellStart"/>
      <w:r w:rsidRPr="007F6C76">
        <w:rPr>
          <w:rFonts w:ascii="Times New Roman" w:eastAsia="Calibri" w:hAnsi="Times New Roman" w:cs="Times New Roman"/>
          <w:b/>
          <w:sz w:val="24"/>
          <w:szCs w:val="26"/>
        </w:rPr>
        <w:t>клопидогрела</w:t>
      </w:r>
      <w:proofErr w:type="spellEnd"/>
      <w:r w:rsidRPr="007F6C76">
        <w:rPr>
          <w:rFonts w:ascii="Times New Roman" w:eastAsia="Calibri" w:hAnsi="Times New Roman" w:cs="Times New Roman"/>
          <w:b/>
          <w:sz w:val="24"/>
          <w:szCs w:val="26"/>
        </w:rPr>
        <w:t xml:space="preserve"> с ацетилсалициловой кислотой </w:t>
      </w:r>
      <w:r w:rsidRPr="007F6C76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>1; 3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7F6C76">
        <w:rPr>
          <w:rFonts w:ascii="Times New Roman" w:eastAsia="Calibri" w:hAnsi="Times New Roman" w:cs="Times New Roman"/>
          <w:i/>
          <w:sz w:val="24"/>
          <w:szCs w:val="24"/>
          <w:u w:val="single"/>
        </w:rPr>
        <w:lastRenderedPageBreak/>
        <w:t>Рекомендации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</w:rPr>
      </w:pP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  - не рекомендуется в рутинной практике, так как сопровождается существенным увеличением геморрагических осложнений (Класс III, уровень А).</w:t>
      </w:r>
      <w:r w:rsidRPr="007F6C76">
        <w:rPr>
          <w:rFonts w:ascii="Times New Roman" w:eastAsia="Calibri" w:hAnsi="Times New Roman" w:cs="Times New Roman"/>
          <w:sz w:val="24"/>
          <w:szCs w:val="24"/>
          <w:vertAlign w:val="superscript"/>
        </w:rPr>
        <w:t>1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  - комбинация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клопидогрела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и аспирина не рекомендована для пациентов после недавно перенесенного инсульта, за исключением специальных показаний (например, нестабильная стенокардия, или не-Q-образующий инфаркт миокарда, или недавнее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стентирование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) с продолжительностью терапии до 9 месяцев </w:t>
      </w:r>
      <w:r w:rsidRPr="007F6C76">
        <w:rPr>
          <w:rFonts w:ascii="Times New Roman" w:eastAsia="Calibri" w:hAnsi="Times New Roman" w:cs="Times New Roman"/>
          <w:bCs/>
          <w:sz w:val="24"/>
          <w:szCs w:val="24"/>
        </w:rPr>
        <w:t>(Класс I, уровень А).</w:t>
      </w:r>
      <w:r w:rsidRPr="007F6C76">
        <w:rPr>
          <w:rFonts w:ascii="Times New Roman" w:eastAsia="Calibri" w:hAnsi="Times New Roman" w:cs="Times New Roman"/>
          <w:bCs/>
          <w:sz w:val="24"/>
          <w:szCs w:val="24"/>
          <w:vertAlign w:val="superscript"/>
        </w:rPr>
        <w:t>3</w:t>
      </w:r>
      <w:r w:rsidRPr="007F6C7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  <w:vertAlign w:val="superscript"/>
        </w:rPr>
      </w:pPr>
    </w:p>
    <w:tbl>
      <w:tblPr>
        <w:tblStyle w:val="410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7F6C76" w:rsidRPr="007F6C76" w:rsidTr="00C70B9F">
        <w:tc>
          <w:tcPr>
            <w:tcW w:w="10177" w:type="dxa"/>
          </w:tcPr>
          <w:p w:rsidR="007F6C76" w:rsidRPr="007F6C76" w:rsidRDefault="007F6C76" w:rsidP="007F6C76">
            <w:pPr>
              <w:rPr>
                <w:rFonts w:eastAsia="Times New Roman"/>
                <w:color w:val="A6A6A6"/>
                <w:szCs w:val="24"/>
                <w:lang w:val="en-US"/>
              </w:rPr>
            </w:pPr>
            <w:proofErr w:type="spellStart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>Шаблон</w:t>
            </w:r>
            <w:proofErr w:type="spellEnd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 xml:space="preserve"> </w:t>
            </w:r>
            <w:proofErr w:type="spellStart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>назначения</w:t>
            </w:r>
            <w:proofErr w:type="spellEnd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 xml:space="preserve"> ЛС</w:t>
            </w:r>
          </w:p>
          <w:p w:rsidR="007F6C76" w:rsidRPr="007F6C76" w:rsidRDefault="007F6C76" w:rsidP="007F6C76">
            <w:pPr>
              <w:rPr>
                <w:rFonts w:eastAsia="Times New Roman"/>
                <w:szCs w:val="24"/>
                <w:lang w:val="en-US"/>
              </w:rPr>
            </w:pPr>
          </w:p>
        </w:tc>
      </w:tr>
    </w:tbl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b/>
          <w:sz w:val="24"/>
          <w:szCs w:val="26"/>
        </w:rPr>
      </w:pPr>
      <w:r w:rsidRPr="007F6C76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B4065EB" wp14:editId="3092C68F">
            <wp:extent cx="207010" cy="207010"/>
            <wp:effectExtent l="0" t="0" r="2540" b="2540"/>
            <wp:docPr id="1129" name="Рисунок 1129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i/>
          <w:color w:val="0070C0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b/>
          <w:sz w:val="24"/>
          <w:szCs w:val="26"/>
        </w:rPr>
        <w:t xml:space="preserve">Комбинация </w:t>
      </w:r>
      <w:proofErr w:type="spellStart"/>
      <w:r w:rsidRPr="007F6C76">
        <w:rPr>
          <w:rFonts w:ascii="Times New Roman" w:eastAsia="Calibri" w:hAnsi="Times New Roman" w:cs="Times New Roman"/>
          <w:b/>
          <w:sz w:val="24"/>
          <w:szCs w:val="26"/>
        </w:rPr>
        <w:t>клопидогрела</w:t>
      </w:r>
      <w:proofErr w:type="spellEnd"/>
      <w:r w:rsidRPr="007F6C76">
        <w:rPr>
          <w:rFonts w:ascii="Times New Roman" w:eastAsia="Calibri" w:hAnsi="Times New Roman" w:cs="Times New Roman"/>
          <w:b/>
          <w:sz w:val="24"/>
          <w:szCs w:val="26"/>
        </w:rPr>
        <w:t xml:space="preserve"> и 100 мг аспирина</w:t>
      </w:r>
      <w:r w:rsidRPr="007F6C76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>1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7F6C76">
        <w:rPr>
          <w:rFonts w:ascii="Times New Roman" w:eastAsia="Calibri" w:hAnsi="Times New Roman" w:cs="Times New Roman"/>
          <w:i/>
          <w:sz w:val="24"/>
          <w:szCs w:val="24"/>
          <w:u w:val="single"/>
        </w:rPr>
        <w:t>Рекомендации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  - комбинация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клопидогрела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с ацетилсалициловой кислотой не рекомендуется в рутинной практике, так как сопровождается существенным увеличением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геморрадических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осложнений (III, </w:t>
      </w:r>
      <w:proofErr w:type="gramStart"/>
      <w:r w:rsidRPr="007F6C76">
        <w:rPr>
          <w:rFonts w:ascii="Times New Roman" w:eastAsia="Calibri" w:hAnsi="Times New Roman" w:cs="Times New Roman"/>
          <w:sz w:val="24"/>
          <w:szCs w:val="24"/>
        </w:rPr>
        <w:t>А</w:t>
      </w:r>
      <w:proofErr w:type="gramEnd"/>
      <w:r w:rsidRPr="007F6C76">
        <w:rPr>
          <w:rFonts w:ascii="Times New Roman" w:eastAsia="Calibri" w:hAnsi="Times New Roman" w:cs="Times New Roman"/>
          <w:sz w:val="24"/>
          <w:szCs w:val="24"/>
        </w:rPr>
        <w:t>).</w:t>
      </w:r>
      <w:r w:rsidRPr="007F6C76">
        <w:rPr>
          <w:rFonts w:ascii="Times New Roman" w:eastAsia="Calibri" w:hAnsi="Times New Roman" w:cs="Times New Roman"/>
          <w:sz w:val="24"/>
          <w:szCs w:val="24"/>
          <w:vertAlign w:val="superscript"/>
        </w:rPr>
        <w:t>1</w:t>
      </w: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</w:pP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  - комбинация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клопидогрела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и 100 мг аспирина показана пациенту, который перенес не только ТИА или ИИ, но и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стентирование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коронарных артерий, мелкоочаговый инфаркт миокарда (без образования зубца Q) или имеет нестабильную стенокардию в течение не менее 9 мес. (Класс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IIа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>, уровень В).</w:t>
      </w:r>
      <w:r w:rsidRPr="007F6C76">
        <w:rPr>
          <w:rFonts w:ascii="Times New Roman" w:eastAsia="Calibri" w:hAnsi="Times New Roman" w:cs="Times New Roman"/>
          <w:sz w:val="24"/>
          <w:szCs w:val="24"/>
          <w:vertAlign w:val="superscript"/>
        </w:rPr>
        <w:t>1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  <w:vertAlign w:val="superscript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7F6C76">
        <w:rPr>
          <w:rFonts w:ascii="Times New Roman" w:eastAsia="Calibri" w:hAnsi="Times New Roman" w:cs="Times New Roman"/>
          <w:i/>
          <w:sz w:val="24"/>
          <w:szCs w:val="24"/>
          <w:u w:val="single"/>
        </w:rPr>
        <w:t>Комментарий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7F6C76">
        <w:rPr>
          <w:rFonts w:ascii="Times New Roman" w:eastAsia="Calibri" w:hAnsi="Times New Roman" w:cs="Times New Roman"/>
          <w:szCs w:val="24"/>
        </w:rPr>
        <w:t xml:space="preserve">   - </w:t>
      </w:r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комбинация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6"/>
        </w:rPr>
        <w:t>клопидогреля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и аспирина не снижает риска ишемического инсульта, инфаркта миокарда, сосудистой смерти или частоты повторных госпитализаций по сравнению с приемом одного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6"/>
        </w:rPr>
        <w:t>клопидогреля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, однако приводит к увеличению частоты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6"/>
        </w:rPr>
        <w:t>жизнеугрожающих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и выраженных кровотечений.</w:t>
      </w:r>
      <w:r w:rsidRPr="007F6C76">
        <w:rPr>
          <w:rFonts w:ascii="Times New Roman" w:eastAsia="Calibri" w:hAnsi="Times New Roman" w:cs="Times New Roman"/>
          <w:sz w:val="24"/>
          <w:szCs w:val="26"/>
          <w:vertAlign w:val="superscript"/>
        </w:rPr>
        <w:t>3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  - подобным образом, в исследовании </w:t>
      </w:r>
      <w:r w:rsidRPr="007F6C76">
        <w:rPr>
          <w:rFonts w:ascii="Times New Roman" w:eastAsia="Calibri" w:hAnsi="Times New Roman" w:cs="Times New Roman"/>
          <w:sz w:val="24"/>
          <w:szCs w:val="26"/>
          <w:lang w:val="en-US"/>
        </w:rPr>
        <w:t>CHARISMA</w:t>
      </w:r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(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6"/>
          <w:lang w:val="en-US"/>
        </w:rPr>
        <w:t>Clopidogrel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</w:t>
      </w:r>
      <w:r w:rsidRPr="007F6C76">
        <w:rPr>
          <w:rFonts w:ascii="Times New Roman" w:eastAsia="Calibri" w:hAnsi="Times New Roman" w:cs="Times New Roman"/>
          <w:sz w:val="24"/>
          <w:szCs w:val="26"/>
          <w:lang w:val="en-US"/>
        </w:rPr>
        <w:t>for</w:t>
      </w:r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</w:t>
      </w:r>
      <w:r w:rsidRPr="007F6C76">
        <w:rPr>
          <w:rFonts w:ascii="Times New Roman" w:eastAsia="Calibri" w:hAnsi="Times New Roman" w:cs="Times New Roman"/>
          <w:sz w:val="24"/>
          <w:szCs w:val="26"/>
          <w:lang w:val="en-US"/>
        </w:rPr>
        <w:t>High</w:t>
      </w:r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6"/>
          <w:lang w:val="en-US"/>
        </w:rPr>
        <w:t>Atherothrombotic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</w:t>
      </w:r>
      <w:r w:rsidRPr="007F6C76">
        <w:rPr>
          <w:rFonts w:ascii="Times New Roman" w:eastAsia="Calibri" w:hAnsi="Times New Roman" w:cs="Times New Roman"/>
          <w:sz w:val="24"/>
          <w:szCs w:val="26"/>
          <w:lang w:val="en-US"/>
        </w:rPr>
        <w:t>Risk</w:t>
      </w:r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, </w:t>
      </w:r>
      <w:r w:rsidRPr="007F6C76">
        <w:rPr>
          <w:rFonts w:ascii="Times New Roman" w:eastAsia="Calibri" w:hAnsi="Times New Roman" w:cs="Times New Roman"/>
          <w:sz w:val="24"/>
          <w:szCs w:val="26"/>
          <w:lang w:val="en-US"/>
        </w:rPr>
        <w:t>Ischemic</w:t>
      </w:r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</w:t>
      </w:r>
      <w:r w:rsidRPr="007F6C76">
        <w:rPr>
          <w:rFonts w:ascii="Times New Roman" w:eastAsia="Calibri" w:hAnsi="Times New Roman" w:cs="Times New Roman"/>
          <w:sz w:val="24"/>
          <w:szCs w:val="26"/>
          <w:lang w:val="en-US"/>
        </w:rPr>
        <w:t>Stabilization</w:t>
      </w:r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,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6"/>
        </w:rPr>
        <w:t>Management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,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6"/>
        </w:rPr>
        <w:t>and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6"/>
        </w:rPr>
        <w:t>Avoidance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) было выявлено, что комбинация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6"/>
        </w:rPr>
        <w:t>клопидогреля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и аспирина не приводит к снижению риска инфаркта миокарда, инсульта, или смерти от сердечно-сосудистых причин по сравнению только с аспирином. У больных с острым коронарным синдромом в течение 12 месяцев, или после коронарного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6"/>
        </w:rPr>
        <w:t>стентирования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, комбинация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6"/>
        </w:rPr>
        <w:t>клопидогреля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и аспирина снижает риск новых сосудистых событий.</w:t>
      </w:r>
      <w:r w:rsidRPr="007F6C76">
        <w:rPr>
          <w:rFonts w:ascii="Times New Roman" w:eastAsia="Calibri" w:hAnsi="Times New Roman" w:cs="Times New Roman"/>
          <w:sz w:val="24"/>
          <w:szCs w:val="26"/>
          <w:vertAlign w:val="superscript"/>
        </w:rPr>
        <w:t>3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Cs w:val="24"/>
        </w:rPr>
      </w:pPr>
    </w:p>
    <w:tbl>
      <w:tblPr>
        <w:tblStyle w:val="410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7F6C76" w:rsidRPr="007F6C76" w:rsidTr="00C70B9F">
        <w:tc>
          <w:tcPr>
            <w:tcW w:w="10177" w:type="dxa"/>
          </w:tcPr>
          <w:p w:rsidR="007F6C76" w:rsidRPr="007F6C76" w:rsidRDefault="007F6C76" w:rsidP="007F6C76">
            <w:pPr>
              <w:rPr>
                <w:rFonts w:eastAsia="Times New Roman"/>
                <w:color w:val="A6A6A6"/>
                <w:szCs w:val="24"/>
                <w:lang w:val="en-US"/>
              </w:rPr>
            </w:pPr>
            <w:proofErr w:type="spellStart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>Шаблон</w:t>
            </w:r>
            <w:proofErr w:type="spellEnd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 xml:space="preserve"> </w:t>
            </w:r>
            <w:proofErr w:type="spellStart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>назначения</w:t>
            </w:r>
            <w:proofErr w:type="spellEnd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 xml:space="preserve"> ЛС</w:t>
            </w:r>
          </w:p>
          <w:p w:rsidR="007F6C76" w:rsidRPr="007F6C76" w:rsidRDefault="007F6C76" w:rsidP="007F6C76">
            <w:pPr>
              <w:rPr>
                <w:rFonts w:eastAsia="Times New Roman"/>
                <w:szCs w:val="24"/>
                <w:lang w:val="en-US"/>
              </w:rPr>
            </w:pPr>
          </w:p>
        </w:tc>
      </w:tr>
    </w:tbl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7F6C76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9D81BCB" wp14:editId="42AEE4EE">
            <wp:extent cx="207010" cy="207010"/>
            <wp:effectExtent l="0" t="0" r="2540" b="2540"/>
            <wp:docPr id="1130" name="Рисунок 1130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i/>
          <w:color w:val="0070C0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b/>
          <w:sz w:val="24"/>
          <w:szCs w:val="26"/>
        </w:rPr>
        <w:t>Дипиридамол</w:t>
      </w:r>
      <w:r w:rsidRPr="007F6C76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>1;2;3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7F6C76">
        <w:rPr>
          <w:rFonts w:ascii="Times New Roman" w:eastAsia="Calibri" w:hAnsi="Times New Roman" w:cs="Times New Roman"/>
          <w:sz w:val="26"/>
          <w:szCs w:val="26"/>
        </w:rPr>
        <w:t xml:space="preserve">       </w:t>
      </w:r>
      <w:r w:rsidRPr="007F6C76">
        <w:rPr>
          <w:rFonts w:ascii="Times New Roman" w:eastAsia="Calibri" w:hAnsi="Times New Roman" w:cs="Times New Roman"/>
          <w:sz w:val="24"/>
          <w:szCs w:val="26"/>
        </w:rPr>
        <w:t>200 мг замедленного высвобождения назначается два раза в сутки.</w:t>
      </w:r>
      <w:r w:rsidRPr="007F6C76">
        <w:rPr>
          <w:rFonts w:ascii="Times New Roman" w:eastAsia="Calibri" w:hAnsi="Times New Roman" w:cs="Times New Roman"/>
          <w:sz w:val="24"/>
          <w:szCs w:val="26"/>
          <w:vertAlign w:val="superscript"/>
        </w:rPr>
        <w:t>1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7F6C76">
        <w:rPr>
          <w:rFonts w:ascii="Times New Roman" w:eastAsia="Calibri" w:hAnsi="Times New Roman" w:cs="Times New Roman"/>
          <w:i/>
          <w:sz w:val="24"/>
          <w:szCs w:val="24"/>
          <w:u w:val="single"/>
        </w:rPr>
        <w:t>Рекомендации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  - назначение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дипиридамола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целесообразно в случаях непереносимости аспирина или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клопидогрела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или резистентности к этим препаратам.</w:t>
      </w:r>
      <w:r w:rsidRPr="007F6C76">
        <w:rPr>
          <w:rFonts w:ascii="Times New Roman" w:eastAsia="Calibri" w:hAnsi="Times New Roman" w:cs="Times New Roman"/>
          <w:sz w:val="24"/>
          <w:szCs w:val="24"/>
          <w:vertAlign w:val="superscript"/>
        </w:rPr>
        <w:t>1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  - добавление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дипиридамола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в дозе 400 мг в сутки усиливает действие АСК и рекомендуется тем больным, которые перенесли инсульт или транзиторную ишемическую атаку на фоне приема АСК (исследования ESPS-2 (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European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Stroke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Prevention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Study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>) и ESPRIТ (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European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Australian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Stroke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Prevention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in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Reversible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Ischaemia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>).</w:t>
      </w:r>
      <w:r w:rsidRPr="007F6C76">
        <w:rPr>
          <w:rFonts w:ascii="Times New Roman" w:eastAsia="Calibri" w:hAnsi="Times New Roman" w:cs="Times New Roman"/>
          <w:sz w:val="24"/>
          <w:szCs w:val="24"/>
          <w:vertAlign w:val="superscript"/>
        </w:rPr>
        <w:t>2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7F6C76">
        <w:rPr>
          <w:rFonts w:ascii="Times New Roman" w:eastAsia="Calibri" w:hAnsi="Times New Roman" w:cs="Times New Roman"/>
          <w:i/>
          <w:sz w:val="24"/>
          <w:szCs w:val="24"/>
          <w:u w:val="single"/>
        </w:rPr>
        <w:t>Комментарий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  <w:vertAlign w:val="superscript"/>
        </w:rPr>
      </w:pPr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  - не имеет достоверных преимуществ над аспирином.</w:t>
      </w:r>
      <w:r w:rsidRPr="007F6C76">
        <w:rPr>
          <w:rFonts w:ascii="Times New Roman" w:eastAsia="Calibri" w:hAnsi="Times New Roman" w:cs="Times New Roman"/>
          <w:sz w:val="24"/>
          <w:szCs w:val="26"/>
          <w:vertAlign w:val="superscript"/>
        </w:rPr>
        <w:t>1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</w:rPr>
      </w:pPr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  - эффективность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6"/>
        </w:rPr>
        <w:t>дипиридамола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в снижении риска повторных инсультов близка к аспирину.</w:t>
      </w:r>
      <w:r w:rsidRPr="007F6C76">
        <w:rPr>
          <w:rFonts w:ascii="Times New Roman" w:eastAsia="Calibri" w:hAnsi="Times New Roman" w:cs="Times New Roman"/>
          <w:sz w:val="24"/>
          <w:szCs w:val="26"/>
          <w:vertAlign w:val="superscript"/>
        </w:rPr>
        <w:t>3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Cs w:val="24"/>
        </w:rPr>
      </w:pPr>
      <w:r w:rsidRPr="007F6C76">
        <w:rPr>
          <w:rFonts w:ascii="Times New Roman" w:eastAsia="Calibri" w:hAnsi="Times New Roman" w:cs="Times New Roman"/>
          <w:sz w:val="24"/>
          <w:szCs w:val="26"/>
        </w:rPr>
        <w:lastRenderedPageBreak/>
        <w:t xml:space="preserve">   - прием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6"/>
        </w:rPr>
        <w:t>дипиридамола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может вызывать головную боль, для снижения частоты которой рекомендуется постепенное увеличение дозы.</w:t>
      </w:r>
      <w:r w:rsidRPr="007F6C76">
        <w:rPr>
          <w:rFonts w:ascii="Times New Roman" w:eastAsia="Calibri" w:hAnsi="Times New Roman" w:cs="Times New Roman"/>
          <w:sz w:val="24"/>
          <w:szCs w:val="26"/>
          <w:vertAlign w:val="superscript"/>
        </w:rPr>
        <w:t>3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410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7F6C76" w:rsidRPr="007F6C76" w:rsidTr="00C70B9F">
        <w:tc>
          <w:tcPr>
            <w:tcW w:w="10177" w:type="dxa"/>
          </w:tcPr>
          <w:p w:rsidR="007F6C76" w:rsidRPr="007F6C76" w:rsidRDefault="007F6C76" w:rsidP="007F6C76">
            <w:pPr>
              <w:rPr>
                <w:rFonts w:eastAsia="Times New Roman"/>
                <w:color w:val="A6A6A6"/>
                <w:szCs w:val="24"/>
                <w:lang w:val="en-US"/>
              </w:rPr>
            </w:pPr>
            <w:proofErr w:type="spellStart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>Шаблон</w:t>
            </w:r>
            <w:proofErr w:type="spellEnd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 xml:space="preserve"> </w:t>
            </w:r>
            <w:proofErr w:type="spellStart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>назначения</w:t>
            </w:r>
            <w:proofErr w:type="spellEnd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 xml:space="preserve"> ЛС</w:t>
            </w:r>
          </w:p>
          <w:p w:rsidR="007F6C76" w:rsidRPr="007F6C76" w:rsidRDefault="007F6C76" w:rsidP="007F6C76">
            <w:pPr>
              <w:rPr>
                <w:rFonts w:eastAsia="Times New Roman"/>
                <w:szCs w:val="24"/>
                <w:lang w:val="en-US"/>
              </w:rPr>
            </w:pPr>
          </w:p>
        </w:tc>
      </w:tr>
    </w:tbl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7F6C76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A91626A" wp14:editId="4679622F">
            <wp:extent cx="207010" cy="207010"/>
            <wp:effectExtent l="0" t="0" r="2540" b="2540"/>
            <wp:docPr id="1131" name="Рисунок 1131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i/>
          <w:color w:val="0070C0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b/>
          <w:sz w:val="24"/>
          <w:szCs w:val="26"/>
        </w:rPr>
        <w:t>Трифлюзал</w:t>
      </w:r>
      <w:r w:rsidRPr="007F6C76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>3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7F6C76">
        <w:rPr>
          <w:rFonts w:ascii="Times New Roman" w:eastAsia="Calibri" w:hAnsi="Times New Roman" w:cs="Times New Roman"/>
          <w:i/>
          <w:sz w:val="24"/>
          <w:szCs w:val="24"/>
          <w:u w:val="single"/>
        </w:rPr>
        <w:t>Комментарий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</w:rPr>
      </w:pPr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  - эффективность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6"/>
        </w:rPr>
        <w:t>трифлюзала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в снижении риска повторных инсультов близка к аспирину, однако характерно меньшее количество побочных эффектов</w:t>
      </w:r>
      <w:r w:rsidRPr="007F6C76">
        <w:rPr>
          <w:rFonts w:ascii="Times New Roman" w:eastAsia="Calibri" w:hAnsi="Times New Roman" w:cs="Times New Roman"/>
          <w:sz w:val="24"/>
          <w:szCs w:val="26"/>
          <w:vertAlign w:val="superscript"/>
        </w:rPr>
        <w:t>3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  <w:vertAlign w:val="superscript"/>
        </w:rPr>
      </w:pPr>
    </w:p>
    <w:tbl>
      <w:tblPr>
        <w:tblStyle w:val="410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7F6C76" w:rsidRPr="007F6C76" w:rsidTr="00C70B9F">
        <w:tc>
          <w:tcPr>
            <w:tcW w:w="10177" w:type="dxa"/>
          </w:tcPr>
          <w:p w:rsidR="007F6C76" w:rsidRPr="007F6C76" w:rsidRDefault="007F6C76" w:rsidP="007F6C76">
            <w:pPr>
              <w:rPr>
                <w:rFonts w:eastAsia="Times New Roman"/>
                <w:color w:val="A6A6A6"/>
                <w:szCs w:val="24"/>
                <w:lang w:val="en-US"/>
              </w:rPr>
            </w:pPr>
            <w:proofErr w:type="spellStart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>Шаблон</w:t>
            </w:r>
            <w:proofErr w:type="spellEnd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 xml:space="preserve"> </w:t>
            </w:r>
            <w:proofErr w:type="spellStart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>назначения</w:t>
            </w:r>
            <w:proofErr w:type="spellEnd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 xml:space="preserve"> ЛС</w:t>
            </w:r>
          </w:p>
          <w:p w:rsidR="007F6C76" w:rsidRPr="007F6C76" w:rsidRDefault="007F6C76" w:rsidP="007F6C76">
            <w:pPr>
              <w:rPr>
                <w:rFonts w:eastAsia="Times New Roman"/>
                <w:szCs w:val="24"/>
                <w:lang w:val="en-US"/>
              </w:rPr>
            </w:pPr>
          </w:p>
        </w:tc>
      </w:tr>
    </w:tbl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b/>
          <w:sz w:val="24"/>
          <w:szCs w:val="26"/>
        </w:rPr>
      </w:pPr>
      <w:r w:rsidRPr="007F6C76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9B89192" wp14:editId="78B56879">
            <wp:extent cx="207010" cy="207010"/>
            <wp:effectExtent l="0" t="0" r="2540" b="2540"/>
            <wp:docPr id="1132" name="Рисунок 1132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i/>
          <w:color w:val="0070C0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b/>
          <w:sz w:val="24"/>
          <w:szCs w:val="26"/>
        </w:rPr>
        <w:t xml:space="preserve">Комбинация </w:t>
      </w:r>
      <w:proofErr w:type="spellStart"/>
      <w:r w:rsidRPr="007F6C76">
        <w:rPr>
          <w:rFonts w:ascii="Times New Roman" w:eastAsia="Calibri" w:hAnsi="Times New Roman" w:cs="Times New Roman"/>
          <w:b/>
          <w:sz w:val="24"/>
          <w:szCs w:val="26"/>
        </w:rPr>
        <w:t>дипиридамола</w:t>
      </w:r>
      <w:proofErr w:type="spellEnd"/>
      <w:r w:rsidRPr="007F6C76">
        <w:rPr>
          <w:rFonts w:ascii="Times New Roman" w:eastAsia="Calibri" w:hAnsi="Times New Roman" w:cs="Times New Roman"/>
          <w:b/>
          <w:sz w:val="24"/>
          <w:szCs w:val="26"/>
        </w:rPr>
        <w:t xml:space="preserve"> замедленного высвобождения и аспирина</w:t>
      </w:r>
      <w:r w:rsidRPr="007F6C76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>1;3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</w:rPr>
      </w:pPr>
      <w:r w:rsidRPr="007F6C76">
        <w:rPr>
          <w:rFonts w:ascii="Times New Roman" w:eastAsia="Calibri" w:hAnsi="Times New Roman" w:cs="Times New Roman"/>
          <w:sz w:val="24"/>
          <w:szCs w:val="26"/>
        </w:rPr>
        <w:t>200 мг и 25 мг аспирина назначается 2 раза в сутки</w:t>
      </w:r>
      <w:r w:rsidRPr="007F6C76">
        <w:rPr>
          <w:rFonts w:ascii="Times New Roman" w:eastAsia="Calibri" w:hAnsi="Times New Roman" w:cs="Times New Roman"/>
          <w:sz w:val="24"/>
          <w:szCs w:val="26"/>
          <w:vertAlign w:val="superscript"/>
        </w:rPr>
        <w:t>1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7F6C76">
        <w:rPr>
          <w:rFonts w:ascii="Times New Roman" w:eastAsia="Calibri" w:hAnsi="Times New Roman" w:cs="Times New Roman"/>
          <w:i/>
          <w:sz w:val="24"/>
          <w:szCs w:val="24"/>
          <w:u w:val="single"/>
        </w:rPr>
        <w:t>Рекомендации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  - имеет незначительное преимущество над аспирином. Эта комбинация не эффективнее приема одного клопидогрела.</w:t>
      </w:r>
      <w:r w:rsidRPr="007F6C76">
        <w:rPr>
          <w:rFonts w:ascii="Times New Roman" w:eastAsia="Calibri" w:hAnsi="Times New Roman" w:cs="Times New Roman"/>
          <w:sz w:val="24"/>
          <w:szCs w:val="24"/>
          <w:vertAlign w:val="superscript"/>
        </w:rPr>
        <w:t>1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  - в качестве альтернативы возможно использование аспирина или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трифлюзала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(Класс I, уровень А).</w:t>
      </w:r>
      <w:r w:rsidRPr="007F6C76">
        <w:rPr>
          <w:rFonts w:ascii="Times New Roman" w:eastAsia="Calibri" w:hAnsi="Times New Roman" w:cs="Times New Roman"/>
          <w:sz w:val="24"/>
          <w:szCs w:val="24"/>
          <w:vertAlign w:val="superscript"/>
        </w:rPr>
        <w:t>3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7F6C76">
        <w:rPr>
          <w:rFonts w:ascii="Times New Roman" w:eastAsia="Calibri" w:hAnsi="Times New Roman" w:cs="Times New Roman"/>
          <w:i/>
          <w:sz w:val="24"/>
          <w:szCs w:val="24"/>
          <w:u w:val="single"/>
        </w:rPr>
        <w:t>Комментарий</w:t>
      </w:r>
    </w:p>
    <w:p w:rsidR="007F6C76" w:rsidRPr="007F6C76" w:rsidRDefault="007F6C76" w:rsidP="007F6C76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  Комбинация аспирина (38 – 300 мг/сутки) и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дипиридамола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замедленного высвобождения (200 мг дважды в сутки) снижает риск сосудистой смерти, инсульта или инфаркта миокарда по сравнению с аспирином (ОР 0,82; 95% ДИ 0,74-0,91)</w:t>
      </w:r>
      <w:r w:rsidRPr="007F6C76">
        <w:rPr>
          <w:rFonts w:ascii="Times New Roman" w:eastAsia="Calibri" w:hAnsi="Times New Roman" w:cs="Times New Roman"/>
          <w:sz w:val="24"/>
          <w:szCs w:val="24"/>
          <w:vertAlign w:val="superscript"/>
        </w:rPr>
        <w:t>3</w:t>
      </w:r>
    </w:p>
    <w:tbl>
      <w:tblPr>
        <w:tblStyle w:val="410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7F6C76" w:rsidRPr="007F6C76" w:rsidTr="00C70B9F">
        <w:tc>
          <w:tcPr>
            <w:tcW w:w="9349" w:type="dxa"/>
          </w:tcPr>
          <w:p w:rsidR="007F6C76" w:rsidRPr="007F6C76" w:rsidRDefault="007F6C76" w:rsidP="007F6C76">
            <w:pPr>
              <w:rPr>
                <w:rFonts w:eastAsia="Times New Roman"/>
                <w:color w:val="A6A6A6"/>
                <w:szCs w:val="24"/>
                <w:lang w:val="en-US"/>
              </w:rPr>
            </w:pPr>
            <w:proofErr w:type="spellStart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>Шаблон</w:t>
            </w:r>
            <w:proofErr w:type="spellEnd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 xml:space="preserve"> </w:t>
            </w:r>
            <w:proofErr w:type="spellStart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>назначения</w:t>
            </w:r>
            <w:proofErr w:type="spellEnd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 xml:space="preserve"> ЛС</w:t>
            </w:r>
          </w:p>
          <w:p w:rsidR="007F6C76" w:rsidRPr="007F6C76" w:rsidRDefault="007F6C76" w:rsidP="007F6C76">
            <w:pPr>
              <w:rPr>
                <w:rFonts w:eastAsia="Times New Roman"/>
                <w:szCs w:val="24"/>
                <w:lang w:val="en-US"/>
              </w:rPr>
            </w:pPr>
          </w:p>
        </w:tc>
      </w:tr>
    </w:tbl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b/>
          <w:sz w:val="24"/>
          <w:szCs w:val="26"/>
        </w:rPr>
      </w:pPr>
      <w:r w:rsidRPr="007F6C76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275F360" wp14:editId="620688CF">
            <wp:extent cx="207010" cy="207010"/>
            <wp:effectExtent l="0" t="0" r="2540" b="2540"/>
            <wp:docPr id="1133" name="Рисунок 1133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i/>
          <w:color w:val="0070C0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b/>
          <w:sz w:val="24"/>
          <w:szCs w:val="26"/>
        </w:rPr>
        <w:t>Аспирин или клопидогрел</w:t>
      </w:r>
      <w:r w:rsidRPr="007F6C76">
        <w:rPr>
          <w:rFonts w:ascii="Times New Roman" w:eastAsia="Calibri" w:hAnsi="Times New Roman" w:cs="Times New Roman"/>
          <w:b/>
          <w:sz w:val="24"/>
          <w:szCs w:val="26"/>
          <w:vertAlign w:val="superscript"/>
        </w:rPr>
        <w:t>1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6"/>
        </w:rPr>
      </w:pPr>
      <w:r w:rsidRPr="007F6C76">
        <w:rPr>
          <w:rFonts w:ascii="Times New Roman" w:eastAsia="Calibri" w:hAnsi="Times New Roman" w:cs="Times New Roman"/>
          <w:sz w:val="24"/>
          <w:szCs w:val="26"/>
        </w:rPr>
        <w:t xml:space="preserve">  каждый в нагрузочной дозе 300 мг и затем по 75 мг</w:t>
      </w:r>
      <w:r w:rsidRPr="007F6C76">
        <w:rPr>
          <w:rFonts w:ascii="Times New Roman" w:eastAsia="Calibri" w:hAnsi="Times New Roman" w:cs="Times New Roman"/>
          <w:sz w:val="24"/>
          <w:szCs w:val="26"/>
          <w:vertAlign w:val="superscript"/>
        </w:rPr>
        <w:t>1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7F6C76">
        <w:rPr>
          <w:rFonts w:ascii="Times New Roman" w:eastAsia="Calibri" w:hAnsi="Times New Roman" w:cs="Times New Roman"/>
          <w:i/>
          <w:sz w:val="24"/>
          <w:szCs w:val="24"/>
          <w:u w:val="single"/>
        </w:rPr>
        <w:t>Рекомендации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  - пациентам с подтвержденной ТИА должны быть начаты немедленно, а также сделаны все остальные назначения для вторичной профилактики инсульта.</w:t>
      </w:r>
      <w:r w:rsidRPr="007F6C76">
        <w:rPr>
          <w:rFonts w:ascii="Times New Roman" w:eastAsia="Calibri" w:hAnsi="Times New Roman" w:cs="Times New Roman"/>
          <w:sz w:val="24"/>
          <w:szCs w:val="24"/>
          <w:vertAlign w:val="superscript"/>
        </w:rPr>
        <w:t>1</w:t>
      </w:r>
    </w:p>
    <w:p w:rsidR="007F6C76" w:rsidRPr="007F6C76" w:rsidRDefault="007F6C76" w:rsidP="007F6C76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  - в качестве альтернативы возможно использование аспирина или </w:t>
      </w:r>
      <w:proofErr w:type="spellStart"/>
      <w:r w:rsidRPr="007F6C76">
        <w:rPr>
          <w:rFonts w:ascii="Times New Roman" w:eastAsia="Calibri" w:hAnsi="Times New Roman" w:cs="Times New Roman"/>
          <w:sz w:val="24"/>
          <w:szCs w:val="24"/>
        </w:rPr>
        <w:t>трифлюзала</w:t>
      </w:r>
      <w:proofErr w:type="spellEnd"/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(Класс I, уровень А).</w:t>
      </w:r>
      <w:r w:rsidRPr="007F6C76">
        <w:rPr>
          <w:rFonts w:ascii="Times New Roman" w:eastAsia="Calibri" w:hAnsi="Times New Roman" w:cs="Times New Roman"/>
          <w:sz w:val="24"/>
          <w:szCs w:val="24"/>
          <w:vertAlign w:val="superscript"/>
        </w:rPr>
        <w:t>3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410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7F6C76" w:rsidRPr="007F6C76" w:rsidTr="00C70B9F">
        <w:tc>
          <w:tcPr>
            <w:tcW w:w="10177" w:type="dxa"/>
          </w:tcPr>
          <w:p w:rsidR="007F6C76" w:rsidRPr="007F6C76" w:rsidRDefault="007F6C76" w:rsidP="007F6C76">
            <w:pPr>
              <w:rPr>
                <w:rFonts w:eastAsia="Times New Roman"/>
                <w:color w:val="A6A6A6"/>
                <w:szCs w:val="24"/>
                <w:lang w:val="en-US"/>
              </w:rPr>
            </w:pPr>
            <w:proofErr w:type="spellStart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>Шаблон</w:t>
            </w:r>
            <w:proofErr w:type="spellEnd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 xml:space="preserve"> </w:t>
            </w:r>
            <w:proofErr w:type="spellStart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>назначения</w:t>
            </w:r>
            <w:proofErr w:type="spellEnd"/>
            <w:r w:rsidRPr="007F6C76">
              <w:rPr>
                <w:rFonts w:eastAsia="Times New Roman"/>
                <w:color w:val="A6A6A6"/>
                <w:szCs w:val="24"/>
                <w:lang w:val="en-US"/>
              </w:rPr>
              <w:t xml:space="preserve"> ЛС</w:t>
            </w:r>
          </w:p>
          <w:p w:rsidR="007F6C76" w:rsidRPr="007F6C76" w:rsidRDefault="007F6C76" w:rsidP="007F6C76">
            <w:pPr>
              <w:rPr>
                <w:rFonts w:eastAsia="Times New Roman"/>
                <w:szCs w:val="24"/>
                <w:lang w:val="en-US"/>
              </w:rPr>
            </w:pPr>
          </w:p>
        </w:tc>
      </w:tr>
    </w:tbl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7F6C76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BB4C5C" wp14:editId="3F6D331F">
            <wp:extent cx="207010" cy="207010"/>
            <wp:effectExtent l="0" t="0" r="2540" b="2540"/>
            <wp:docPr id="1134" name="Рисунок 1134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i/>
          <w:color w:val="0070C0"/>
          <w:sz w:val="24"/>
          <w:szCs w:val="24"/>
        </w:rPr>
        <w:t xml:space="preserve"> </w:t>
      </w:r>
      <w:r w:rsidRPr="007F6C76">
        <w:rPr>
          <w:rFonts w:ascii="Times New Roman" w:eastAsia="Calibri" w:hAnsi="Times New Roman" w:cs="Times New Roman"/>
          <w:b/>
          <w:color w:val="A6A6A6"/>
          <w:sz w:val="24"/>
          <w:szCs w:val="26"/>
        </w:rPr>
        <w:t>Дополнительный раздел</w:t>
      </w: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  <w:vertAlign w:val="superscript"/>
        </w:rPr>
      </w:pPr>
    </w:p>
    <w:tbl>
      <w:tblPr>
        <w:tblStyle w:val="410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7F6C76" w:rsidRPr="007F6C76" w:rsidTr="00C70B9F">
        <w:tc>
          <w:tcPr>
            <w:tcW w:w="10177" w:type="dxa"/>
          </w:tcPr>
          <w:p w:rsidR="007F6C76" w:rsidRPr="007F6C76" w:rsidRDefault="007F6C76" w:rsidP="007F6C76">
            <w:pPr>
              <w:rPr>
                <w:rFonts w:eastAsia="Times New Roman"/>
                <w:color w:val="A6A6A6"/>
                <w:szCs w:val="24"/>
              </w:rPr>
            </w:pPr>
            <w:r w:rsidRPr="007F6C76">
              <w:rPr>
                <w:rFonts w:eastAsia="Times New Roman"/>
                <w:color w:val="A6A6A6"/>
                <w:szCs w:val="24"/>
              </w:rPr>
              <w:t>При необходимости переименуйте раздел и введите данные по своему усмотрению</w:t>
            </w:r>
          </w:p>
          <w:p w:rsidR="007F6C76" w:rsidRPr="007F6C76" w:rsidRDefault="007F6C76" w:rsidP="007F6C76">
            <w:pPr>
              <w:rPr>
                <w:rFonts w:eastAsia="Times New Roman"/>
                <w:szCs w:val="24"/>
              </w:rPr>
            </w:pPr>
          </w:p>
        </w:tc>
      </w:tr>
    </w:tbl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7F6C76" w:rsidRPr="007F6C76" w:rsidRDefault="007F6C76" w:rsidP="007F6C76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7F6C76">
        <w:rPr>
          <w:rFonts w:ascii="Times New Roman" w:eastAsia="Calibri" w:hAnsi="Times New Roman" w:cs="Times New Roman"/>
          <w:b/>
          <w:sz w:val="24"/>
          <w:szCs w:val="24"/>
        </w:rPr>
        <w:lastRenderedPageBreak/>
        <w:t>Дополн</w:t>
      </w:r>
      <w:bookmarkStart w:id="0" w:name="_GoBack"/>
      <w:bookmarkEnd w:id="0"/>
      <w:r w:rsidRPr="007F6C76">
        <w:rPr>
          <w:rFonts w:ascii="Times New Roman" w:eastAsia="Calibri" w:hAnsi="Times New Roman" w:cs="Times New Roman"/>
          <w:b/>
          <w:sz w:val="24"/>
          <w:szCs w:val="24"/>
        </w:rPr>
        <w:t>ительный раздел</w:t>
      </w:r>
      <w:r w:rsidRPr="007F6C76">
        <w:rPr>
          <w:rFonts w:ascii="Times New Roman" w:eastAsia="Calibri" w:hAnsi="Times New Roman" w:cs="Times New Roman"/>
          <w:sz w:val="24"/>
          <w:szCs w:val="24"/>
        </w:rPr>
        <w:t xml:space="preserve"> дает возможность изменить заголовок и создать дополнительный раздел на усмотрение специалиста.</w:t>
      </w:r>
    </w:p>
    <w:p w:rsidR="00DB2E0F" w:rsidRPr="007F6C76" w:rsidRDefault="00DB2E0F" w:rsidP="007F6C76">
      <w:pPr>
        <w:rPr>
          <w:rFonts w:ascii="Times New Roman" w:hAnsi="Times New Roman" w:cs="Times New Roman"/>
        </w:rPr>
      </w:pPr>
    </w:p>
    <w:sectPr w:rsidR="00DB2E0F" w:rsidRPr="007F6C76" w:rsidSect="007F6C76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30E"/>
    <w:rsid w:val="0016430E"/>
    <w:rsid w:val="007F6C76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89389A-CD0C-4CDF-9B7F-8B7A32441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6C76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410">
    <w:name w:val="Сетка таблицы410"/>
    <w:basedOn w:val="a1"/>
    <w:next w:val="a3"/>
    <w:uiPriority w:val="39"/>
    <w:rsid w:val="007F6C76"/>
    <w:pPr>
      <w:spacing w:after="0" w:line="240" w:lineRule="auto"/>
    </w:pPr>
    <w:rPr>
      <w:rFonts w:ascii="Times New Roman" w:eastAsia="Calibri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7F6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1107</Words>
  <Characters>6313</Characters>
  <Application>Microsoft Office Word</Application>
  <DocSecurity>0</DocSecurity>
  <Lines>52</Lines>
  <Paragraphs>14</Paragraphs>
  <ScaleCrop>false</ScaleCrop>
  <Company/>
  <LinksUpToDate>false</LinksUpToDate>
  <CharactersWithSpaces>7406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2022-09-03T13:04:00Z</dcterms:created>
  <dcterms:modified xsi:type="dcterms:W3CDTF">2022-09-03T13:05:00Z</dcterms:modified>
</cp:coreProperties>
</file>