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AF7" w:rsidRPr="00234AF7" w:rsidRDefault="00234AF7" w:rsidP="00234AF7">
      <w:pPr>
        <w:shd w:val="clear" w:color="auto" w:fill="F7CAAC" w:themeFill="accent2" w:themeFillTint="66"/>
        <w:spacing w:after="0"/>
        <w:jc w:val="center"/>
        <w:rPr>
          <w:rFonts w:ascii="Times New Roman" w:eastAsia="Calibri" w:hAnsi="Times New Roman" w:cs="Times New Roman"/>
          <w:sz w:val="24"/>
        </w:rPr>
      </w:pPr>
      <w:r w:rsidRPr="00234AF7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>АНТИКОАГУЛЯНТНАЯ ТЕРАПИЯ</w:t>
      </w:r>
    </w:p>
    <w:p w:rsidR="00234AF7" w:rsidRPr="00234AF7" w:rsidRDefault="00234AF7" w:rsidP="00234AF7">
      <w:pPr>
        <w:spacing w:after="0"/>
        <w:jc w:val="center"/>
        <w:rPr>
          <w:rFonts w:ascii="Times New Roman" w:eastAsia="Calibri" w:hAnsi="Times New Roman" w:cs="Times New Roman"/>
          <w:sz w:val="24"/>
        </w:rPr>
      </w:pPr>
      <w:r w:rsidRPr="00234AF7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4D4ECF27" wp14:editId="636DED06">
            <wp:extent cx="5760000" cy="3239999"/>
            <wp:effectExtent l="190500" t="190500" r="184150" b="189230"/>
            <wp:docPr id="1135" name="Рисунок 1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9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</w:rPr>
      </w:pP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</w:rPr>
      </w:pPr>
      <w:r w:rsidRPr="00234AF7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0B2AE190" wp14:editId="071C17C0">
            <wp:extent cx="838200" cy="219075"/>
            <wp:effectExtent l="0" t="0" r="0" b="9525"/>
            <wp:docPr id="1136" name="Рисунок 1136" descr="C:\Users\katam\AppData\Local\Microsoft\Windows\INetCache\Content.Word\Назад к списк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katam\AppData\Local\Microsoft\Windows\INetCache\Content.Word\Назад к списку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4AF7">
        <w:rPr>
          <w:rFonts w:ascii="Times New Roman" w:eastAsia="Calibri" w:hAnsi="Times New Roman" w:cs="Times New Roman"/>
          <w:sz w:val="24"/>
        </w:rPr>
        <w:t xml:space="preserve"> </w:t>
      </w:r>
      <w:r w:rsidRPr="00234AF7">
        <w:rPr>
          <w:rFonts w:ascii="Times New Roman" w:eastAsia="Calibri" w:hAnsi="Times New Roman" w:cs="Times New Roman"/>
          <w:b/>
          <w:sz w:val="24"/>
        </w:rPr>
        <w:t>Кнопка «Назад к списку»</w:t>
      </w:r>
      <w:r w:rsidRPr="00234AF7">
        <w:rPr>
          <w:rFonts w:ascii="Times New Roman" w:eastAsia="Calibri" w:hAnsi="Times New Roman" w:cs="Times New Roman"/>
          <w:sz w:val="24"/>
        </w:rPr>
        <w:t xml:space="preserve"> - для возврата к спискам видов терапии.</w:t>
      </w: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</w:rPr>
      </w:pPr>
    </w:p>
    <w:p w:rsidR="00234AF7" w:rsidRPr="00234AF7" w:rsidRDefault="00234AF7" w:rsidP="00234AF7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234AF7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5BC7CA55" wp14:editId="1AAA17D1">
            <wp:extent cx="406596" cy="360000"/>
            <wp:effectExtent l="0" t="0" r="0" b="2540"/>
            <wp:docPr id="751" name="Рисунок 751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4AF7">
        <w:rPr>
          <w:rFonts w:ascii="Times New Roman" w:eastAsia="Calibri" w:hAnsi="Times New Roman" w:cs="Times New Roman"/>
          <w:sz w:val="24"/>
        </w:rPr>
        <w:t xml:space="preserve">  </w:t>
      </w:r>
      <w:r w:rsidRPr="00234AF7">
        <w:rPr>
          <w:rFonts w:ascii="Times New Roman" w:eastAsia="Calibri" w:hAnsi="Times New Roman" w:cs="Times New Roman"/>
          <w:b/>
          <w:sz w:val="24"/>
        </w:rPr>
        <w:t>Сноски на источник.</w:t>
      </w:r>
      <w:r w:rsidRPr="00234AF7">
        <w:rPr>
          <w:rFonts w:ascii="Times New Roman" w:eastAsia="Calibri" w:hAnsi="Times New Roman" w:cs="Times New Roman"/>
          <w:sz w:val="24"/>
        </w:rPr>
        <w:t xml:space="preserve"> </w:t>
      </w:r>
    </w:p>
    <w:p w:rsidR="00234AF7" w:rsidRPr="00234AF7" w:rsidRDefault="00234AF7" w:rsidP="00234AF7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234AF7">
        <w:rPr>
          <w:rFonts w:ascii="Times New Roman" w:eastAsia="Calibri" w:hAnsi="Times New Roman" w:cs="Times New Roman"/>
          <w:sz w:val="24"/>
        </w:rPr>
        <w:t>При наведении курсора на сноску на источник, открывается окно с текстом – описанием источников. При уводе курсора окно закрывается. Ознакомится со всеми источниками можно в разделе 26. Список литературы руководства пользователя.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</w:rPr>
      </w:pPr>
    </w:p>
    <w:p w:rsidR="00234AF7" w:rsidRPr="00234AF7" w:rsidRDefault="00234AF7" w:rsidP="00234AF7">
      <w:pPr>
        <w:shd w:val="clear" w:color="auto" w:fill="FBE4D5" w:themeFill="accent2" w:themeFillTint="33"/>
        <w:spacing w:after="0"/>
        <w:rPr>
          <w:rFonts w:ascii="Times New Roman" w:eastAsia="Calibri" w:hAnsi="Times New Roman" w:cs="Times New Roman"/>
          <w:i/>
          <w:sz w:val="24"/>
        </w:rPr>
      </w:pPr>
      <w:r w:rsidRPr="00234AF7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0A6066D9" wp14:editId="2F5655F8">
            <wp:extent cx="406596" cy="360000"/>
            <wp:effectExtent l="0" t="0" r="0" b="2540"/>
            <wp:docPr id="143" name="Рисунок 143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4AF7">
        <w:rPr>
          <w:rFonts w:ascii="Times New Roman" w:eastAsia="Calibri" w:hAnsi="Times New Roman" w:cs="Times New Roman"/>
          <w:i/>
          <w:sz w:val="24"/>
        </w:rPr>
        <w:t xml:space="preserve">  </w:t>
      </w:r>
      <w:r w:rsidRPr="00234AF7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  <w:r w:rsidRPr="00234AF7">
        <w:rPr>
          <w:rFonts w:ascii="Times New Roman" w:eastAsia="Calibri" w:hAnsi="Times New Roman" w:cs="Times New Roman"/>
          <w:i/>
          <w:sz w:val="24"/>
        </w:rPr>
        <w:t xml:space="preserve"> или </w:t>
      </w:r>
      <w:r w:rsidRPr="00234AF7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  <w:r w:rsidRPr="00234AF7">
        <w:rPr>
          <w:rFonts w:ascii="Times New Roman" w:eastAsia="Calibri" w:hAnsi="Times New Roman" w:cs="Times New Roman"/>
          <w:i/>
          <w:sz w:val="24"/>
        </w:rPr>
        <w:t xml:space="preserve"> </w:t>
      </w:r>
    </w:p>
    <w:p w:rsidR="00234AF7" w:rsidRPr="00234AF7" w:rsidRDefault="00234AF7" w:rsidP="00234AF7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234AF7">
        <w:rPr>
          <w:rFonts w:ascii="Times New Roman" w:eastAsia="Calibri" w:hAnsi="Times New Roman" w:cs="Times New Roman"/>
          <w:sz w:val="24"/>
        </w:rPr>
        <w:t>П</w:t>
      </w:r>
      <w:r w:rsidRPr="00234AF7"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  <w:t xml:space="preserve">ри клике по заголовку - ссылке «Комментарий» или «Рекомендации», открывается текст комментария или рекомендации соответственно </w:t>
      </w:r>
      <w:r w:rsidRPr="00234AF7">
        <w:rPr>
          <w:rFonts w:ascii="Times New Roman" w:eastAsia="Calibri" w:hAnsi="Times New Roman" w:cs="Times New Roman"/>
          <w:sz w:val="24"/>
        </w:rPr>
        <w:t xml:space="preserve">(везде далее - аналогично).  </w:t>
      </w: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</w:rPr>
      </w:pPr>
    </w:p>
    <w:p w:rsidR="00234AF7" w:rsidRPr="00234AF7" w:rsidRDefault="00234AF7" w:rsidP="00234AF7">
      <w:pPr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</w:p>
    <w:p w:rsidR="00234AF7" w:rsidRPr="00234AF7" w:rsidRDefault="00234AF7" w:rsidP="00234AF7">
      <w:pPr>
        <w:jc w:val="center"/>
        <w:rPr>
          <w:rFonts w:ascii="Times New Roman" w:eastAsia="Calibri" w:hAnsi="Times New Roman" w:cs="Times New Roman"/>
          <w:b/>
          <w:sz w:val="28"/>
        </w:rPr>
      </w:pPr>
      <w:r w:rsidRPr="00234AF7">
        <w:rPr>
          <w:rFonts w:ascii="Times New Roman" w:eastAsia="Calibri" w:hAnsi="Times New Roman" w:cs="Times New Roman"/>
          <w:b/>
          <w:sz w:val="28"/>
        </w:rPr>
        <w:t>АНТИКОАГУЛЯНТНАЯ ТЕРАПИЯ</w:t>
      </w: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i/>
          <w:color w:val="0070C0"/>
          <w:sz w:val="24"/>
        </w:rPr>
      </w:pPr>
      <w:r w:rsidRPr="00234AF7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b/>
          <w:bCs/>
          <w:sz w:val="24"/>
          <w:vertAlign w:val="superscript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   - терапия оральными антикоагулянтами (МНО 2,0 – 3,0) рекомендована больным после перенесенного ишемического инсульта, связанного с мерцательной аритмией </w:t>
      </w:r>
      <w:r w:rsidRPr="00234AF7">
        <w:rPr>
          <w:rFonts w:ascii="Times New Roman" w:eastAsia="Calibri" w:hAnsi="Times New Roman" w:cs="Times New Roman"/>
          <w:bCs/>
          <w:sz w:val="24"/>
        </w:rPr>
        <w:t>(Класс I, уровень А).</w:t>
      </w:r>
      <w:r w:rsidRPr="00234AF7">
        <w:rPr>
          <w:rFonts w:ascii="Times New Roman" w:eastAsia="Calibri" w:hAnsi="Times New Roman" w:cs="Times New Roman"/>
          <w:b/>
          <w:bCs/>
          <w:sz w:val="24"/>
          <w:vertAlign w:val="superscript"/>
        </w:rPr>
        <w:t>3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   - прием оральных антикоагулянтов не рекомендован больным с частыми падениями, низкой приверженностью терапии, неконтролируемой эпилепсией, желудочно-кишечными кровотечениями </w:t>
      </w:r>
      <w:r w:rsidRPr="00234AF7">
        <w:rPr>
          <w:rFonts w:ascii="Times New Roman" w:eastAsia="Calibri" w:hAnsi="Times New Roman" w:cs="Times New Roman"/>
          <w:bCs/>
          <w:sz w:val="24"/>
        </w:rPr>
        <w:t>(Класс III, уровень С)</w:t>
      </w:r>
      <w:r w:rsidRPr="00234AF7">
        <w:rPr>
          <w:rFonts w:ascii="Times New Roman" w:eastAsia="Calibri" w:hAnsi="Times New Roman" w:cs="Times New Roman"/>
          <w:sz w:val="24"/>
        </w:rPr>
        <w:t>.</w:t>
      </w:r>
      <w:r w:rsidRPr="00234AF7">
        <w:rPr>
          <w:rFonts w:ascii="Times New Roman" w:eastAsia="Calibri" w:hAnsi="Times New Roman" w:cs="Times New Roman"/>
          <w:sz w:val="24"/>
          <w:vertAlign w:val="superscript"/>
        </w:rPr>
        <w:t>3</w:t>
      </w:r>
      <w:r w:rsidRPr="00234AF7">
        <w:rPr>
          <w:rFonts w:ascii="Times New Roman" w:eastAsia="Calibri" w:hAnsi="Times New Roman" w:cs="Times New Roman"/>
          <w:sz w:val="24"/>
        </w:rPr>
        <w:t xml:space="preserve"> 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   - пациенты с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кардиоэмболическим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инсультом, не связанным с мерцательной аритмией, должны получать оральные антикоагулянты (МНО 2,0 – 3,0) при высоком риске повторного инсульта </w:t>
      </w:r>
      <w:r w:rsidRPr="00234AF7">
        <w:rPr>
          <w:rFonts w:ascii="Times New Roman" w:eastAsia="Calibri" w:hAnsi="Times New Roman" w:cs="Times New Roman"/>
          <w:bCs/>
          <w:sz w:val="24"/>
        </w:rPr>
        <w:t>(Класс III, уровень С).</w:t>
      </w:r>
      <w:r w:rsidRPr="00234AF7">
        <w:rPr>
          <w:rFonts w:ascii="Times New Roman" w:eastAsia="Calibri" w:hAnsi="Times New Roman" w:cs="Times New Roman"/>
          <w:bCs/>
          <w:sz w:val="24"/>
          <w:vertAlign w:val="superscript"/>
        </w:rPr>
        <w:t>2; 3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   -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антикоагулянтная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терапия не рекомендована для пациентов после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некардиоэмболического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инсульта, за исключением некоторых ситуаций, таких как атерома аорты,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фузиформная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аневризма основной артерии,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диссекция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артерий шеи или открытое овальное окно в сочетании </w:t>
      </w:r>
      <w:r w:rsidRPr="00234AF7">
        <w:rPr>
          <w:rFonts w:ascii="Times New Roman" w:eastAsia="Calibri" w:hAnsi="Times New Roman" w:cs="Times New Roman"/>
          <w:sz w:val="24"/>
        </w:rPr>
        <w:lastRenderedPageBreak/>
        <w:t xml:space="preserve">с доказанным тромбозом глубоких вен голени или с аневризмой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межпредсердной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перегородки </w:t>
      </w:r>
      <w:r w:rsidRPr="00234AF7">
        <w:rPr>
          <w:rFonts w:ascii="Times New Roman" w:eastAsia="Calibri" w:hAnsi="Times New Roman" w:cs="Times New Roman"/>
          <w:bCs/>
          <w:sz w:val="24"/>
        </w:rPr>
        <w:t>(Класс IV, GCP).</w:t>
      </w:r>
      <w:r w:rsidRPr="00234AF7">
        <w:rPr>
          <w:rFonts w:ascii="Times New Roman" w:eastAsia="Calibri" w:hAnsi="Times New Roman" w:cs="Times New Roman"/>
          <w:bCs/>
          <w:sz w:val="24"/>
          <w:vertAlign w:val="superscript"/>
        </w:rPr>
        <w:t>3</w:t>
      </w:r>
      <w:r w:rsidRPr="00234AF7">
        <w:rPr>
          <w:rFonts w:ascii="Times New Roman" w:eastAsia="Calibri" w:hAnsi="Times New Roman" w:cs="Times New Roman"/>
          <w:b/>
          <w:bCs/>
          <w:sz w:val="24"/>
        </w:rPr>
        <w:t xml:space="preserve"> 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   - при наличии противопоказаний к терапии оральными антикоагулянтами рекомендована терапия низкими дозами аспирина в сочетании с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дипиридамолом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</w:t>
      </w:r>
      <w:r w:rsidRPr="00234AF7">
        <w:rPr>
          <w:rFonts w:ascii="Times New Roman" w:eastAsia="Calibri" w:hAnsi="Times New Roman" w:cs="Times New Roman"/>
          <w:bCs/>
          <w:sz w:val="24"/>
        </w:rPr>
        <w:t>(Класс IV, GCP).</w:t>
      </w:r>
      <w:r w:rsidRPr="00234AF7">
        <w:rPr>
          <w:rFonts w:ascii="Times New Roman" w:eastAsia="Calibri" w:hAnsi="Times New Roman" w:cs="Times New Roman"/>
          <w:bCs/>
          <w:sz w:val="24"/>
          <w:vertAlign w:val="superscript"/>
        </w:rPr>
        <w:t>3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  <w:vertAlign w:val="superscript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   - непрямые антикоагулянты рекомендуются больным с фибрилляцией предсердий, искусственным клапаном сердца или другой причиной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кардиоэмболического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ИИ (Класс I, уровень А).</w:t>
      </w:r>
      <w:r w:rsidRPr="00234AF7">
        <w:rPr>
          <w:rFonts w:ascii="Times New Roman" w:eastAsia="Calibri" w:hAnsi="Times New Roman" w:cs="Times New Roman"/>
          <w:sz w:val="24"/>
          <w:vertAlign w:val="superscript"/>
        </w:rPr>
        <w:t>1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   - если нельзя использовать непрямые антикоагулянты, то используют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антитромбоцитарные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средства, при этом комбинация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клопидогрела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(75 мг в сутки) и аспирина (75—100 мг в сутки) незначительно эффективнее, чем прием одного аспирина (75—100 мг в сутки) (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IIа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>, В), но частота геморрагических осложнений сопоставима с применением пероральных антикоагулянтов.</w:t>
      </w:r>
      <w:r w:rsidRPr="00234AF7">
        <w:rPr>
          <w:rFonts w:ascii="Times New Roman" w:eastAsia="Calibri" w:hAnsi="Times New Roman" w:cs="Times New Roman"/>
          <w:sz w:val="24"/>
          <w:vertAlign w:val="superscript"/>
        </w:rPr>
        <w:t>1</w:t>
      </w: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</w:rPr>
      </w:pP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i/>
          <w:color w:val="0070C0"/>
          <w:sz w:val="24"/>
        </w:rPr>
      </w:pPr>
      <w:r w:rsidRPr="00234AF7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  <w:vertAlign w:val="superscript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   - для пациентов с острым ишемическим инсультом и геморрагической трансформацией вопрос о начале или возобновлении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антитромбоцитарной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или 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антикоагулянтной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терапии рассматривается в зависимости от конкретного клинического течения и ведущих симптомов. (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IIb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>; B-NR)</w:t>
      </w:r>
      <w:r w:rsidRPr="00234AF7">
        <w:rPr>
          <w:rFonts w:ascii="Times New Roman" w:eastAsia="Calibri" w:hAnsi="Times New Roman" w:cs="Times New Roman"/>
          <w:sz w:val="24"/>
          <w:vertAlign w:val="superscript"/>
        </w:rPr>
        <w:t>4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  <w:vertAlign w:val="superscript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   - терапия оральными антикоагулянтами после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некардиоэмболического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ишемического инсульта по эффективности не превосходит терапию аспирином, однако приводит к большему количеству кровотечений.</w:t>
      </w:r>
      <w:r w:rsidRPr="00234AF7">
        <w:rPr>
          <w:rFonts w:ascii="Times New Roman" w:eastAsia="Calibri" w:hAnsi="Times New Roman" w:cs="Times New Roman"/>
          <w:sz w:val="24"/>
          <w:vertAlign w:val="superscript"/>
        </w:rPr>
        <w:t>3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  <w:vertAlign w:val="superscript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    - оральные антикоагулянты (МНО 2,0 – 3,0) снижают риск повторного инсульта у пациентов с неклапанной мерцательной аритмией (как при постоянной, так и при пароксизмальной форме), а также при большинстве других состояний, сопровождающихся кардиальной эмболией.</w:t>
      </w:r>
      <w:r w:rsidRPr="00234AF7">
        <w:rPr>
          <w:rFonts w:ascii="Times New Roman" w:eastAsia="Calibri" w:hAnsi="Times New Roman" w:cs="Times New Roman"/>
          <w:sz w:val="24"/>
          <w:vertAlign w:val="superscript"/>
        </w:rPr>
        <w:t>3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   -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антикоагулянтную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терапию необходимо продолжать длительное время, или как минимум в течение 3 месяцев после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кардиоэмболического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инсульта, возникшего на фоне острого инфаркта миокарда.</w:t>
      </w:r>
      <w:r w:rsidRPr="00234AF7">
        <w:rPr>
          <w:rFonts w:ascii="Times New Roman" w:eastAsia="Calibri" w:hAnsi="Times New Roman" w:cs="Times New Roman"/>
          <w:sz w:val="24"/>
          <w:vertAlign w:val="superscript"/>
        </w:rPr>
        <w:t>3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  <w:vertAlign w:val="superscript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   - после ТИА или малого инсульта терапия должна начинаться немедленно, однако в случае тяжелого инсульта с признаками обширного инфаркта по данным методов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нейровизуализации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(например, при размере очага поражения более 1/3 бассейна СМА)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антикоагулянтную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терапию необходимо начинать через несколько недель (вопрос в каждом случае должен решаться индивидуально).</w:t>
      </w:r>
      <w:r w:rsidRPr="00234AF7">
        <w:rPr>
          <w:rFonts w:ascii="Times New Roman" w:eastAsia="Calibri" w:hAnsi="Times New Roman" w:cs="Times New Roman"/>
          <w:sz w:val="24"/>
          <w:vertAlign w:val="superscript"/>
        </w:rPr>
        <w:t>3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  <w:vertAlign w:val="superscript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   - для большинства пациентов с острым ишемическим инсультом после купирования фибрилляции предсердий целесо</w:t>
      </w:r>
      <w:r w:rsidRPr="00234AF7">
        <w:rPr>
          <w:rFonts w:ascii="Times New Roman" w:eastAsia="Calibri" w:hAnsi="Times New Roman" w:cs="Times New Roman"/>
          <w:sz w:val="24"/>
        </w:rPr>
        <w:softHyphen/>
        <w:t xml:space="preserve">образно назначить пероральную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антикоагулянтную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терапию в течение 4–14 дней после появления неврологических симптомов. (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IIa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>; B-NR)</w:t>
      </w:r>
      <w:r w:rsidRPr="00234AF7">
        <w:rPr>
          <w:rFonts w:ascii="Times New Roman" w:eastAsia="Calibri" w:hAnsi="Times New Roman" w:cs="Times New Roman"/>
          <w:sz w:val="24"/>
          <w:vertAlign w:val="superscript"/>
        </w:rPr>
        <w:t>4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- у пациентов с мерцательной аритмией и стабильной ИБС не следует комбинировать оральные антикоагулянты с аспирином [332]. Терапия антикоагулянтами может быть предпочтительной у пациентов с атеромой аорты [333],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фузиформной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аневризмой основной артерии или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диссекцией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артерий шеи.</w:t>
      </w:r>
      <w:r w:rsidRPr="00234AF7">
        <w:rPr>
          <w:rFonts w:ascii="Times New Roman" w:eastAsia="Calibri" w:hAnsi="Times New Roman" w:cs="Times New Roman"/>
          <w:sz w:val="24"/>
          <w:vertAlign w:val="superscript"/>
        </w:rPr>
        <w:t>3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  <w:vertAlign w:val="superscript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- Пожилой возраст не является противопоказанием для терапии оральными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аникоагулянтами</w:t>
      </w:r>
      <w:proofErr w:type="spellEnd"/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234AF7">
        <w:rPr>
          <w:rFonts w:ascii="Times New Roman" w:eastAsia="Calibri" w:hAnsi="Times New Roman" w:cs="Times New Roman"/>
          <w:b/>
          <w:bCs/>
          <w:sz w:val="24"/>
        </w:rPr>
        <w:t>(</w:t>
      </w:r>
      <w:r w:rsidRPr="00234AF7">
        <w:rPr>
          <w:rFonts w:ascii="Times New Roman" w:eastAsia="Calibri" w:hAnsi="Times New Roman" w:cs="Times New Roman"/>
          <w:bCs/>
          <w:sz w:val="24"/>
        </w:rPr>
        <w:t>Класс I, уровень А).</w:t>
      </w:r>
      <w:r w:rsidRPr="00234AF7">
        <w:rPr>
          <w:rFonts w:ascii="Times New Roman" w:eastAsia="Calibri" w:hAnsi="Times New Roman" w:cs="Times New Roman"/>
          <w:bCs/>
          <w:sz w:val="24"/>
          <w:vertAlign w:val="superscript"/>
        </w:rPr>
        <w:t>1; 3</w:t>
      </w: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</w:rPr>
      </w:pPr>
    </w:p>
    <w:p w:rsidR="00234AF7" w:rsidRPr="00234AF7" w:rsidRDefault="00234AF7" w:rsidP="00234AF7">
      <w:pPr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234AF7">
        <w:rPr>
          <w:rFonts w:ascii="Times New Roman" w:eastAsia="Calibri" w:hAnsi="Times New Roman" w:cs="Times New Roman"/>
          <w:b/>
          <w:sz w:val="28"/>
        </w:rPr>
        <w:t>Лекарственные препараты</w:t>
      </w: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  <w:r w:rsidRPr="00234AF7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1E2CDB58" wp14:editId="39E7870D">
            <wp:extent cx="207010" cy="207010"/>
            <wp:effectExtent l="0" t="0" r="2540" b="2540"/>
            <wp:docPr id="1140" name="Рисунок 1140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4AF7">
        <w:rPr>
          <w:rFonts w:ascii="Times New Roman" w:eastAsia="Calibri" w:hAnsi="Times New Roman" w:cs="Times New Roman"/>
          <w:sz w:val="24"/>
        </w:rPr>
        <w:t xml:space="preserve">  </w:t>
      </w:r>
      <w:proofErr w:type="spellStart"/>
      <w:r w:rsidRPr="00234AF7">
        <w:rPr>
          <w:rFonts w:ascii="Times New Roman" w:eastAsia="Calibri" w:hAnsi="Times New Roman" w:cs="Times New Roman"/>
          <w:b/>
          <w:sz w:val="24"/>
        </w:rPr>
        <w:t>Варфарин</w:t>
      </w:r>
      <w:proofErr w:type="spellEnd"/>
      <w:r w:rsidRPr="00234AF7">
        <w:rPr>
          <w:rFonts w:ascii="Times New Roman" w:eastAsia="Calibri" w:hAnsi="Times New Roman" w:cs="Times New Roman"/>
          <w:b/>
          <w:sz w:val="24"/>
          <w:vertAlign w:val="superscript"/>
        </w:rPr>
        <w:t xml:space="preserve"> 1</w:t>
      </w: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  <w:szCs w:val="26"/>
          <w:vertAlign w:val="superscript"/>
        </w:rPr>
      </w:pPr>
      <w:r w:rsidRPr="00234AF7">
        <w:rPr>
          <w:rFonts w:ascii="Times New Roman" w:eastAsia="Calibri" w:hAnsi="Times New Roman" w:cs="Times New Roman"/>
          <w:sz w:val="24"/>
          <w:szCs w:val="26"/>
        </w:rPr>
        <w:t xml:space="preserve">        назначается по 2,5—10 мг/сут.</w:t>
      </w:r>
      <w:r w:rsidRPr="00234AF7">
        <w:rPr>
          <w:rFonts w:ascii="Times New Roman" w:eastAsia="Calibri" w:hAnsi="Times New Roman" w:cs="Times New Roman"/>
          <w:sz w:val="24"/>
          <w:szCs w:val="26"/>
          <w:vertAlign w:val="superscript"/>
        </w:rPr>
        <w:t>1</w:t>
      </w: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  <w:r w:rsidRPr="00234AF7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   - с достижением и постоянным поддержанием МНО на уровне 2—3, используется при различных причинах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кардиоэмболического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инсульта.</w:t>
      </w:r>
      <w:r w:rsidRPr="00234AF7">
        <w:rPr>
          <w:rFonts w:ascii="Times New Roman" w:eastAsia="Calibri" w:hAnsi="Times New Roman" w:cs="Times New Roman"/>
          <w:sz w:val="24"/>
          <w:vertAlign w:val="superscript"/>
        </w:rPr>
        <w:t>1</w:t>
      </w:r>
      <w:r w:rsidRPr="00234AF7">
        <w:rPr>
          <w:rFonts w:ascii="Times New Roman" w:eastAsia="Calibri" w:hAnsi="Times New Roman" w:cs="Times New Roman"/>
          <w:sz w:val="24"/>
        </w:rPr>
        <w:t xml:space="preserve"> 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  <w:vertAlign w:val="superscript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   - требуется постоянный лабораторный контроль МНО.</w:t>
      </w:r>
      <w:r w:rsidRPr="00234AF7">
        <w:rPr>
          <w:rFonts w:ascii="Times New Roman" w:eastAsia="Calibri" w:hAnsi="Times New Roman" w:cs="Times New Roman"/>
          <w:sz w:val="24"/>
          <w:vertAlign w:val="superscript"/>
        </w:rPr>
        <w:t>1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  <w:vertAlign w:val="superscript"/>
        </w:rPr>
      </w:pPr>
      <w:r w:rsidRPr="00234AF7">
        <w:rPr>
          <w:rFonts w:ascii="Times New Roman" w:eastAsia="Calibri" w:hAnsi="Times New Roman" w:cs="Times New Roman"/>
          <w:sz w:val="24"/>
        </w:rPr>
        <w:lastRenderedPageBreak/>
        <w:t xml:space="preserve">   - при неклапанной фибрилляции предсердий рекомендуются новые пероральные антикоагулянты, которые не уступают по эффективности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варфарину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, но имеют более низкую частоту внутричерепных кровотечений (Класс I, уровень А). Применение новых пероральных антикоагулянтов не требует, в отличие от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варфарина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>, регулярного контроля МНО.</w:t>
      </w:r>
      <w:r w:rsidRPr="00234AF7">
        <w:rPr>
          <w:rFonts w:ascii="Times New Roman" w:eastAsia="Calibri" w:hAnsi="Times New Roman" w:cs="Times New Roman"/>
          <w:sz w:val="24"/>
          <w:vertAlign w:val="superscript"/>
        </w:rPr>
        <w:t>1</w:t>
      </w: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  <w:r w:rsidRPr="00234AF7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  <w:vertAlign w:val="superscript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   - для пациентов с 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некардиоэмболическим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острым ишемическим инсультом переход от 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антитромбоцитарной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терапии к применению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варфарина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в целях профилактики вторичного инсульта клинически не выгоден. (III: не рекомендуется; B-R) </w:t>
      </w:r>
      <w:r w:rsidRPr="00234AF7">
        <w:rPr>
          <w:rFonts w:ascii="Times New Roman" w:eastAsia="Calibri" w:hAnsi="Times New Roman" w:cs="Times New Roman"/>
          <w:sz w:val="24"/>
          <w:vertAlign w:val="superscript"/>
        </w:rPr>
        <w:t>4</w:t>
      </w: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</w:p>
    <w:tbl>
      <w:tblPr>
        <w:tblStyle w:val="4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234AF7" w:rsidRPr="00234AF7" w:rsidTr="00C70B9F">
        <w:tc>
          <w:tcPr>
            <w:tcW w:w="10177" w:type="dxa"/>
          </w:tcPr>
          <w:p w:rsidR="00234AF7" w:rsidRPr="00234AF7" w:rsidRDefault="00234AF7" w:rsidP="00234AF7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234AF7">
              <w:rPr>
                <w:rFonts w:ascii="Times New Roman" w:hAnsi="Times New Roman" w:cs="Times New Roman"/>
                <w:color w:val="A6A6A6"/>
                <w:sz w:val="24"/>
              </w:rPr>
              <w:t>Шаблон назначения ЛС</w:t>
            </w:r>
          </w:p>
          <w:p w:rsidR="00234AF7" w:rsidRPr="00234AF7" w:rsidRDefault="00234AF7" w:rsidP="00234AF7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</w:rPr>
      </w:pP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i/>
          <w:color w:val="0070C0"/>
          <w:sz w:val="24"/>
        </w:rPr>
      </w:pPr>
      <w:r w:rsidRPr="00234AF7">
        <w:rPr>
          <w:rFonts w:ascii="Times New Roman" w:eastAsia="Calibri" w:hAnsi="Times New Roman" w:cs="Times New Roman"/>
          <w:b/>
          <w:sz w:val="24"/>
        </w:rPr>
        <w:t xml:space="preserve">Шаблон назначения ЛС </w:t>
      </w:r>
      <w:r w:rsidRPr="00234AF7">
        <w:rPr>
          <w:rFonts w:ascii="Times New Roman" w:eastAsia="Calibri" w:hAnsi="Times New Roman" w:cs="Times New Roman"/>
          <w:i/>
          <w:sz w:val="24"/>
        </w:rPr>
        <w:t>(далее - аналогично)</w:t>
      </w:r>
      <w:r w:rsidRPr="00234AF7">
        <w:rPr>
          <w:rFonts w:ascii="Times New Roman" w:eastAsia="Calibri" w:hAnsi="Times New Roman" w:cs="Times New Roman"/>
          <w:b/>
          <w:sz w:val="24"/>
        </w:rPr>
        <w:t>.</w:t>
      </w:r>
      <w:r w:rsidRPr="00234AF7">
        <w:rPr>
          <w:rFonts w:ascii="Times New Roman" w:eastAsia="Calibri" w:hAnsi="Times New Roman" w:cs="Times New Roman"/>
          <w:i/>
          <w:sz w:val="24"/>
        </w:rPr>
        <w:t xml:space="preserve"> 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В шаблон вписывается название ЛС, дозировки и другие данные на усмотрение специалиста. Внесенные данные сохраняются в качестве шаблона (отображаются в личных кабинетах всех пациентов) с возможностью дальнейшего редактирования. 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234AF7">
        <w:rPr>
          <w:rFonts w:ascii="Times New Roman" w:eastAsia="Calibri" w:hAnsi="Times New Roman" w:cs="Times New Roman"/>
          <w:sz w:val="24"/>
        </w:rPr>
        <w:t>При нажатии на кнопку «+», в программу индивидуализированной вторичной профилактики повторного сосудистого события пациента (в личный кабинет которого осуществлен вход), в раздел «Медикаментозная терапия» добавляется: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234AF7">
        <w:rPr>
          <w:rFonts w:ascii="Times New Roman" w:eastAsia="Calibri" w:hAnsi="Times New Roman" w:cs="Times New Roman"/>
          <w:color w:val="0070C0"/>
          <w:sz w:val="24"/>
          <w:szCs w:val="24"/>
        </w:rPr>
        <w:t>Дата. Название терапии</w:t>
      </w:r>
      <w:r w:rsidRPr="00234AF7">
        <w:rPr>
          <w:rFonts w:ascii="Times New Roman" w:eastAsia="Calibri" w:hAnsi="Times New Roman" w:cs="Times New Roman"/>
          <w:i/>
          <w:color w:val="0070C0"/>
          <w:sz w:val="24"/>
          <w:szCs w:val="24"/>
        </w:rPr>
        <w:t xml:space="preserve"> </w:t>
      </w:r>
      <w:r w:rsidRPr="00234AF7">
        <w:rPr>
          <w:rFonts w:ascii="Times New Roman" w:eastAsia="Calibri" w:hAnsi="Times New Roman" w:cs="Times New Roman"/>
          <w:i/>
          <w:sz w:val="24"/>
          <w:szCs w:val="24"/>
        </w:rPr>
        <w:t>(в данном примере «</w:t>
      </w:r>
      <w:proofErr w:type="spellStart"/>
      <w:r w:rsidRPr="00234AF7">
        <w:rPr>
          <w:rFonts w:ascii="Times New Roman" w:eastAsia="Calibri" w:hAnsi="Times New Roman" w:cs="Times New Roman"/>
          <w:i/>
          <w:sz w:val="24"/>
          <w:szCs w:val="24"/>
        </w:rPr>
        <w:t>Антикоагулянтная</w:t>
      </w:r>
      <w:proofErr w:type="spellEnd"/>
      <w:r w:rsidRPr="00234AF7">
        <w:rPr>
          <w:rFonts w:ascii="Times New Roman" w:eastAsia="Calibri" w:hAnsi="Times New Roman" w:cs="Times New Roman"/>
          <w:i/>
          <w:sz w:val="24"/>
          <w:szCs w:val="24"/>
        </w:rPr>
        <w:t xml:space="preserve"> терапия»)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234AF7">
        <w:rPr>
          <w:rFonts w:ascii="Times New Roman" w:eastAsia="Calibri" w:hAnsi="Times New Roman" w:cs="Times New Roman"/>
          <w:color w:val="0070C0"/>
          <w:sz w:val="24"/>
          <w:szCs w:val="24"/>
        </w:rPr>
        <w:t>Заголовок пункта, в котором нажата кнопка «+»</w:t>
      </w:r>
      <w:r w:rsidRPr="00234AF7">
        <w:rPr>
          <w:rFonts w:ascii="Times New Roman" w:eastAsia="Calibri" w:hAnsi="Times New Roman" w:cs="Times New Roman"/>
          <w:i/>
          <w:color w:val="0070C0"/>
          <w:sz w:val="24"/>
          <w:szCs w:val="24"/>
        </w:rPr>
        <w:t xml:space="preserve"> </w:t>
      </w:r>
      <w:r w:rsidRPr="00234AF7">
        <w:rPr>
          <w:rFonts w:ascii="Times New Roman" w:eastAsia="Calibri" w:hAnsi="Times New Roman" w:cs="Times New Roman"/>
          <w:i/>
          <w:sz w:val="24"/>
          <w:szCs w:val="24"/>
        </w:rPr>
        <w:t>(в данном примере «</w:t>
      </w:r>
      <w:proofErr w:type="spellStart"/>
      <w:r w:rsidRPr="00234AF7">
        <w:rPr>
          <w:rFonts w:ascii="Times New Roman" w:eastAsia="Calibri" w:hAnsi="Times New Roman" w:cs="Times New Roman"/>
          <w:i/>
          <w:sz w:val="24"/>
          <w:szCs w:val="24"/>
        </w:rPr>
        <w:t>Варфарин</w:t>
      </w:r>
      <w:proofErr w:type="spellEnd"/>
      <w:r w:rsidRPr="00234AF7">
        <w:rPr>
          <w:rFonts w:ascii="Times New Roman" w:eastAsia="Calibri" w:hAnsi="Times New Roman" w:cs="Times New Roman"/>
          <w:i/>
          <w:sz w:val="24"/>
          <w:szCs w:val="24"/>
        </w:rPr>
        <w:t>»)</w:t>
      </w:r>
    </w:p>
    <w:p w:rsidR="00234AF7" w:rsidRPr="00234AF7" w:rsidRDefault="00234AF7" w:rsidP="00234AF7">
      <w:pPr>
        <w:jc w:val="both"/>
        <w:rPr>
          <w:rFonts w:ascii="Times New Roman" w:eastAsia="Calibri" w:hAnsi="Times New Roman" w:cs="Times New Roman"/>
          <w:color w:val="0070C0"/>
          <w:sz w:val="24"/>
          <w:szCs w:val="24"/>
        </w:rPr>
      </w:pPr>
      <w:r w:rsidRPr="00234AF7">
        <w:rPr>
          <w:rFonts w:ascii="Times New Roman" w:eastAsia="Calibri" w:hAnsi="Times New Roman" w:cs="Times New Roman"/>
          <w:color w:val="0070C0"/>
          <w:sz w:val="24"/>
          <w:szCs w:val="24"/>
        </w:rPr>
        <w:t>Содержимое шаблона назначения.</w:t>
      </w:r>
    </w:p>
    <w:p w:rsidR="00234AF7" w:rsidRPr="00234AF7" w:rsidRDefault="00234AF7" w:rsidP="00234AF7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234AF7">
        <w:rPr>
          <w:rFonts w:ascii="Times New Roman" w:eastAsia="Calibri" w:hAnsi="Times New Roman" w:cs="Times New Roman"/>
          <w:i/>
          <w:sz w:val="24"/>
          <w:szCs w:val="24"/>
        </w:rPr>
        <w:t xml:space="preserve">Перенесенные данные доступны для редактирования </w:t>
      </w:r>
      <w:r w:rsidRPr="00234AF7">
        <w:rPr>
          <w:rFonts w:ascii="Times New Roman" w:hAnsi="Times New Roman" w:cs="Times New Roman"/>
          <w:i/>
          <w:sz w:val="24"/>
          <w:szCs w:val="24"/>
          <w:lang w:eastAsia="ru-RU"/>
        </w:rPr>
        <w:t>(добавления, удаления) путем установки курсора и ввода с клавиатуры.</w:t>
      </w:r>
    </w:p>
    <w:p w:rsidR="00234AF7" w:rsidRDefault="00234AF7" w:rsidP="00234AF7">
      <w:pPr>
        <w:spacing w:after="0"/>
        <w:rPr>
          <w:rFonts w:ascii="Times New Roman" w:eastAsia="Calibri" w:hAnsi="Times New Roman" w:cs="Times New Roman"/>
          <w:sz w:val="24"/>
        </w:rPr>
      </w:pP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</w:rPr>
      </w:pP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  <w:r w:rsidRPr="00234AF7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0234CD86" wp14:editId="3EBD5250">
            <wp:extent cx="207010" cy="207010"/>
            <wp:effectExtent l="0" t="0" r="2540" b="2540"/>
            <wp:docPr id="1142" name="Рисунок 1142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4AF7">
        <w:rPr>
          <w:rFonts w:ascii="Times New Roman" w:eastAsia="Calibri" w:hAnsi="Times New Roman" w:cs="Times New Roman"/>
          <w:sz w:val="24"/>
        </w:rPr>
        <w:t xml:space="preserve"> </w:t>
      </w:r>
      <w:r w:rsidRPr="00234AF7">
        <w:rPr>
          <w:rFonts w:ascii="Times New Roman" w:eastAsia="Calibri" w:hAnsi="Times New Roman" w:cs="Times New Roman"/>
          <w:i/>
          <w:color w:val="0070C0"/>
          <w:sz w:val="24"/>
        </w:rPr>
        <w:t xml:space="preserve"> </w:t>
      </w:r>
      <w:proofErr w:type="spellStart"/>
      <w:r w:rsidRPr="00234AF7">
        <w:rPr>
          <w:rFonts w:ascii="Times New Roman" w:eastAsia="Calibri" w:hAnsi="Times New Roman" w:cs="Times New Roman"/>
          <w:b/>
          <w:sz w:val="24"/>
          <w:szCs w:val="26"/>
        </w:rPr>
        <w:t>Дабигатран</w:t>
      </w:r>
      <w:proofErr w:type="spellEnd"/>
      <w:r w:rsidRPr="00234AF7"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  <w:t xml:space="preserve"> </w:t>
      </w:r>
      <w:r w:rsidRPr="00234AF7">
        <w:rPr>
          <w:rFonts w:ascii="Times New Roman" w:eastAsia="Calibri" w:hAnsi="Times New Roman" w:cs="Times New Roman"/>
          <w:b/>
          <w:sz w:val="26"/>
          <w:szCs w:val="26"/>
          <w:vertAlign w:val="superscript"/>
        </w:rPr>
        <w:t>1;2</w:t>
      </w: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        назначается по 110 или 150 мг в сутки в два приема</w:t>
      </w:r>
      <w:r w:rsidRPr="00234AF7">
        <w:rPr>
          <w:rFonts w:ascii="Times New Roman" w:eastAsia="Calibri" w:hAnsi="Times New Roman" w:cs="Times New Roman"/>
          <w:sz w:val="24"/>
          <w:vertAlign w:val="superscript"/>
        </w:rPr>
        <w:t>1;2</w:t>
      </w: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  <w:r w:rsidRPr="00234AF7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</w:p>
    <w:p w:rsidR="00234AF7" w:rsidRPr="00234AF7" w:rsidRDefault="00234AF7" w:rsidP="00234AF7">
      <w:pPr>
        <w:jc w:val="both"/>
        <w:rPr>
          <w:rFonts w:ascii="Times New Roman" w:eastAsia="Calibri" w:hAnsi="Times New Roman" w:cs="Times New Roman"/>
          <w:sz w:val="24"/>
          <w:vertAlign w:val="superscript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   - в дозе 150 мг 2 раза в сутки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дабигатран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значительнее, чем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варфарин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, снижает частоту повторного ИИ. Кроме того,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дабигатран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может быть использован для профилактики ТГВ и ТЭЛА в дозе 160 мг 2 раза в день.</w:t>
      </w:r>
      <w:r w:rsidRPr="00234AF7">
        <w:rPr>
          <w:rFonts w:ascii="Times New Roman" w:eastAsia="Calibri" w:hAnsi="Times New Roman" w:cs="Times New Roman"/>
          <w:sz w:val="24"/>
          <w:vertAlign w:val="superscript"/>
        </w:rPr>
        <w:t>1</w:t>
      </w: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  <w:r w:rsidRPr="00234AF7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</w:rPr>
      </w:pPr>
      <w:r w:rsidRPr="00234AF7">
        <w:rPr>
          <w:rFonts w:ascii="Times New Roman" w:eastAsia="Calibri" w:hAnsi="Times New Roman" w:cs="Times New Roman"/>
          <w:sz w:val="24"/>
          <w:szCs w:val="26"/>
        </w:rPr>
        <w:t xml:space="preserve">   - </w:t>
      </w:r>
      <w:proofErr w:type="spellStart"/>
      <w:r w:rsidRPr="00234AF7">
        <w:rPr>
          <w:rFonts w:ascii="Times New Roman" w:eastAsia="Calibri" w:hAnsi="Times New Roman" w:cs="Times New Roman"/>
          <w:sz w:val="24"/>
          <w:szCs w:val="26"/>
        </w:rPr>
        <w:t>дабигатран</w:t>
      </w:r>
      <w:proofErr w:type="spellEnd"/>
      <w:r w:rsidRPr="00234AF7">
        <w:rPr>
          <w:rFonts w:ascii="Times New Roman" w:eastAsia="Calibri" w:hAnsi="Times New Roman" w:cs="Times New Roman"/>
          <w:sz w:val="24"/>
          <w:szCs w:val="26"/>
        </w:rPr>
        <w:t xml:space="preserve">, прямой ингибитор тромбина, назначаемый в дозе 110 мг (при двухразовом приеме), не уступал </w:t>
      </w:r>
      <w:proofErr w:type="spellStart"/>
      <w:r w:rsidRPr="00234AF7">
        <w:rPr>
          <w:rFonts w:ascii="Times New Roman" w:eastAsia="Calibri" w:hAnsi="Times New Roman" w:cs="Times New Roman"/>
          <w:sz w:val="24"/>
          <w:szCs w:val="26"/>
        </w:rPr>
        <w:t>варфарину</w:t>
      </w:r>
      <w:proofErr w:type="spellEnd"/>
      <w:r w:rsidRPr="00234AF7">
        <w:rPr>
          <w:rFonts w:ascii="Times New Roman" w:eastAsia="Calibri" w:hAnsi="Times New Roman" w:cs="Times New Roman"/>
          <w:sz w:val="24"/>
          <w:szCs w:val="26"/>
        </w:rPr>
        <w:t xml:space="preserve"> в предупреждении инсульта и системной эмболии, при этом реже вызывал серьезные кровотечения (исследование RE-LY (</w:t>
      </w:r>
      <w:proofErr w:type="spellStart"/>
      <w:r w:rsidRPr="00234AF7">
        <w:rPr>
          <w:rFonts w:ascii="Times New Roman" w:eastAsia="Calibri" w:hAnsi="Times New Roman" w:cs="Times New Roman"/>
          <w:sz w:val="24"/>
          <w:szCs w:val="26"/>
        </w:rPr>
        <w:t>Randomized</w:t>
      </w:r>
      <w:proofErr w:type="spellEnd"/>
      <w:r w:rsidRPr="00234AF7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234AF7">
        <w:rPr>
          <w:rFonts w:ascii="Times New Roman" w:eastAsia="Calibri" w:hAnsi="Times New Roman" w:cs="Times New Roman"/>
          <w:sz w:val="24"/>
          <w:szCs w:val="26"/>
        </w:rPr>
        <w:t>Evaluation</w:t>
      </w:r>
      <w:proofErr w:type="spellEnd"/>
      <w:r w:rsidRPr="00234AF7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234AF7">
        <w:rPr>
          <w:rFonts w:ascii="Times New Roman" w:eastAsia="Calibri" w:hAnsi="Times New Roman" w:cs="Times New Roman"/>
          <w:sz w:val="24"/>
          <w:szCs w:val="26"/>
        </w:rPr>
        <w:t>of</w:t>
      </w:r>
      <w:proofErr w:type="spellEnd"/>
      <w:r w:rsidRPr="00234AF7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234AF7">
        <w:rPr>
          <w:rFonts w:ascii="Times New Roman" w:eastAsia="Calibri" w:hAnsi="Times New Roman" w:cs="Times New Roman"/>
          <w:sz w:val="24"/>
          <w:szCs w:val="26"/>
        </w:rPr>
        <w:t>Long</w:t>
      </w:r>
      <w:proofErr w:type="spellEnd"/>
      <w:r w:rsidRPr="00234AF7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234AF7">
        <w:rPr>
          <w:rFonts w:ascii="Times New Roman" w:eastAsia="Calibri" w:hAnsi="Times New Roman" w:cs="Times New Roman"/>
          <w:sz w:val="24"/>
          <w:szCs w:val="26"/>
        </w:rPr>
        <w:t>Term</w:t>
      </w:r>
      <w:proofErr w:type="spellEnd"/>
      <w:r w:rsidRPr="00234AF7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234AF7">
        <w:rPr>
          <w:rFonts w:ascii="Times New Roman" w:eastAsia="Calibri" w:hAnsi="Times New Roman" w:cs="Times New Roman"/>
          <w:sz w:val="24"/>
          <w:szCs w:val="26"/>
        </w:rPr>
        <w:t>Anticoagulant</w:t>
      </w:r>
      <w:proofErr w:type="spellEnd"/>
      <w:r w:rsidRPr="00234AF7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234AF7">
        <w:rPr>
          <w:rFonts w:ascii="Times New Roman" w:eastAsia="Calibri" w:hAnsi="Times New Roman" w:cs="Times New Roman"/>
          <w:sz w:val="24"/>
          <w:szCs w:val="26"/>
        </w:rPr>
        <w:t>Therapy</w:t>
      </w:r>
      <w:proofErr w:type="spellEnd"/>
      <w:proofErr w:type="gramStart"/>
      <w:r w:rsidRPr="00234AF7">
        <w:rPr>
          <w:rFonts w:ascii="Times New Roman" w:eastAsia="Calibri" w:hAnsi="Times New Roman" w:cs="Times New Roman"/>
          <w:sz w:val="24"/>
          <w:szCs w:val="26"/>
        </w:rPr>
        <w:t>) ,</w:t>
      </w:r>
      <w:proofErr w:type="gramEnd"/>
      <w:r w:rsidRPr="00234AF7">
        <w:rPr>
          <w:rFonts w:ascii="Times New Roman" w:eastAsia="Calibri" w:hAnsi="Times New Roman" w:cs="Times New Roman"/>
          <w:sz w:val="24"/>
          <w:szCs w:val="26"/>
        </w:rPr>
        <w:t xml:space="preserve"> в него было включено 18113 больных). </w:t>
      </w:r>
      <w:proofErr w:type="spellStart"/>
      <w:r w:rsidRPr="00234AF7">
        <w:rPr>
          <w:rFonts w:ascii="Times New Roman" w:eastAsia="Calibri" w:hAnsi="Times New Roman" w:cs="Times New Roman"/>
          <w:sz w:val="24"/>
          <w:szCs w:val="26"/>
        </w:rPr>
        <w:t>Дабигатран</w:t>
      </w:r>
      <w:proofErr w:type="spellEnd"/>
      <w:r w:rsidRPr="00234AF7">
        <w:rPr>
          <w:rFonts w:ascii="Times New Roman" w:eastAsia="Calibri" w:hAnsi="Times New Roman" w:cs="Times New Roman"/>
          <w:sz w:val="24"/>
          <w:szCs w:val="26"/>
        </w:rPr>
        <w:t xml:space="preserve"> в дозе 150 мг (при двухразовом приеме), по данным этого же исследования, превосходил </w:t>
      </w:r>
      <w:proofErr w:type="spellStart"/>
      <w:r w:rsidRPr="00234AF7">
        <w:rPr>
          <w:rFonts w:ascii="Times New Roman" w:eastAsia="Calibri" w:hAnsi="Times New Roman" w:cs="Times New Roman"/>
          <w:sz w:val="24"/>
          <w:szCs w:val="26"/>
        </w:rPr>
        <w:t>варфарин</w:t>
      </w:r>
      <w:proofErr w:type="spellEnd"/>
      <w:r w:rsidRPr="00234AF7">
        <w:rPr>
          <w:rFonts w:ascii="Times New Roman" w:eastAsia="Calibri" w:hAnsi="Times New Roman" w:cs="Times New Roman"/>
          <w:sz w:val="24"/>
          <w:szCs w:val="26"/>
        </w:rPr>
        <w:t xml:space="preserve"> в профилактике инсульта и системной эмболии, частота серьезных кровотечений при этом была такой же, как и при назначении варфарина.</w:t>
      </w:r>
      <w:r w:rsidRPr="00234AF7">
        <w:rPr>
          <w:rFonts w:ascii="Times New Roman" w:eastAsia="Calibri" w:hAnsi="Times New Roman" w:cs="Times New Roman"/>
          <w:sz w:val="24"/>
          <w:szCs w:val="26"/>
          <w:vertAlign w:val="superscript"/>
        </w:rPr>
        <w:t>2</w:t>
      </w: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</w:rPr>
      </w:pPr>
    </w:p>
    <w:tbl>
      <w:tblPr>
        <w:tblStyle w:val="4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234AF7" w:rsidRPr="00234AF7" w:rsidTr="00C70B9F">
        <w:tc>
          <w:tcPr>
            <w:tcW w:w="10177" w:type="dxa"/>
          </w:tcPr>
          <w:p w:rsidR="00234AF7" w:rsidRPr="00234AF7" w:rsidRDefault="00234AF7" w:rsidP="00234AF7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234AF7">
              <w:rPr>
                <w:rFonts w:ascii="Times New Roman" w:hAnsi="Times New Roman" w:cs="Times New Roman"/>
                <w:color w:val="A6A6A6"/>
                <w:sz w:val="24"/>
              </w:rPr>
              <w:t>Шаблон назначения ЛС</w:t>
            </w:r>
          </w:p>
          <w:p w:rsidR="00234AF7" w:rsidRPr="00234AF7" w:rsidRDefault="00234AF7" w:rsidP="00234AF7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</w:rPr>
      </w:pP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</w:rPr>
      </w:pP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b/>
          <w:sz w:val="24"/>
          <w:szCs w:val="26"/>
        </w:rPr>
      </w:pPr>
      <w:r w:rsidRPr="00234AF7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000BAF98" wp14:editId="5B5C0D3E">
            <wp:extent cx="207010" cy="207010"/>
            <wp:effectExtent l="0" t="0" r="2540" b="2540"/>
            <wp:docPr id="1143" name="Рисунок 1143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4AF7">
        <w:rPr>
          <w:rFonts w:ascii="Times New Roman" w:eastAsia="Calibri" w:hAnsi="Times New Roman" w:cs="Times New Roman"/>
          <w:sz w:val="24"/>
        </w:rPr>
        <w:t xml:space="preserve"> </w:t>
      </w:r>
      <w:r w:rsidRPr="00234AF7">
        <w:rPr>
          <w:rFonts w:ascii="Times New Roman" w:eastAsia="Calibri" w:hAnsi="Times New Roman" w:cs="Times New Roman"/>
          <w:i/>
          <w:color w:val="0070C0"/>
        </w:rPr>
        <w:t xml:space="preserve"> </w:t>
      </w:r>
      <w:r w:rsidRPr="00234AF7">
        <w:rPr>
          <w:rFonts w:ascii="Times New Roman" w:eastAsia="Calibri" w:hAnsi="Times New Roman" w:cs="Times New Roman"/>
          <w:b/>
          <w:sz w:val="24"/>
          <w:szCs w:val="26"/>
        </w:rPr>
        <w:t>Ривароксабан</w:t>
      </w:r>
      <w:r w:rsidRPr="00234AF7"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  <w:t>1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  <w:vertAlign w:val="superscript"/>
        </w:rPr>
      </w:pPr>
      <w:r w:rsidRPr="00234AF7">
        <w:rPr>
          <w:rFonts w:ascii="Times New Roman" w:eastAsia="Calibri" w:hAnsi="Times New Roman" w:cs="Times New Roman"/>
          <w:sz w:val="24"/>
          <w:szCs w:val="26"/>
        </w:rPr>
        <w:t xml:space="preserve">   применяется по 20 мг или 15 мг (при клиренсе </w:t>
      </w:r>
      <w:proofErr w:type="spellStart"/>
      <w:r w:rsidRPr="00234AF7">
        <w:rPr>
          <w:rFonts w:ascii="Times New Roman" w:eastAsia="Calibri" w:hAnsi="Times New Roman" w:cs="Times New Roman"/>
          <w:sz w:val="24"/>
          <w:szCs w:val="26"/>
        </w:rPr>
        <w:t>креатинина</w:t>
      </w:r>
      <w:proofErr w:type="spellEnd"/>
      <w:r w:rsidRPr="00234AF7">
        <w:rPr>
          <w:rFonts w:ascii="Times New Roman" w:eastAsia="Calibri" w:hAnsi="Times New Roman" w:cs="Times New Roman"/>
          <w:sz w:val="24"/>
          <w:szCs w:val="26"/>
        </w:rPr>
        <w:t xml:space="preserve"> 30—50 мл/мин) один раз в сутки.</w:t>
      </w:r>
      <w:r w:rsidRPr="00234AF7">
        <w:rPr>
          <w:rFonts w:ascii="Times New Roman" w:eastAsia="Calibri" w:hAnsi="Times New Roman" w:cs="Times New Roman"/>
          <w:sz w:val="24"/>
          <w:szCs w:val="26"/>
          <w:vertAlign w:val="superscript"/>
        </w:rPr>
        <w:t xml:space="preserve">1 </w:t>
      </w: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  <w:r w:rsidRPr="00234AF7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  <w:vertAlign w:val="superscript"/>
        </w:rPr>
      </w:pPr>
      <w:r w:rsidRPr="00234AF7">
        <w:rPr>
          <w:rFonts w:ascii="Times New Roman" w:eastAsia="Calibri" w:hAnsi="Times New Roman" w:cs="Times New Roman"/>
          <w:sz w:val="24"/>
          <w:szCs w:val="26"/>
        </w:rPr>
        <w:lastRenderedPageBreak/>
        <w:t xml:space="preserve">Кроме того, </w:t>
      </w:r>
      <w:proofErr w:type="spellStart"/>
      <w:r w:rsidRPr="00234AF7">
        <w:rPr>
          <w:rFonts w:ascii="Times New Roman" w:eastAsia="Calibri" w:hAnsi="Times New Roman" w:cs="Times New Roman"/>
          <w:sz w:val="24"/>
          <w:szCs w:val="26"/>
        </w:rPr>
        <w:t>ривароксабан</w:t>
      </w:r>
      <w:proofErr w:type="spellEnd"/>
      <w:r w:rsidRPr="00234AF7">
        <w:rPr>
          <w:rFonts w:ascii="Times New Roman" w:eastAsia="Calibri" w:hAnsi="Times New Roman" w:cs="Times New Roman"/>
          <w:sz w:val="24"/>
          <w:szCs w:val="26"/>
        </w:rPr>
        <w:t xml:space="preserve"> может быть использован для профилактики и лечения тромбоза вен нижних конечностей и ТЭЛА.</w:t>
      </w:r>
      <w:r w:rsidRPr="00234AF7">
        <w:rPr>
          <w:rFonts w:ascii="Times New Roman" w:eastAsia="Calibri" w:hAnsi="Times New Roman" w:cs="Times New Roman"/>
          <w:sz w:val="24"/>
          <w:szCs w:val="26"/>
          <w:vertAlign w:val="superscript"/>
        </w:rPr>
        <w:t>1</w:t>
      </w: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</w:rPr>
      </w:pPr>
    </w:p>
    <w:tbl>
      <w:tblPr>
        <w:tblStyle w:val="4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234AF7" w:rsidRPr="00234AF7" w:rsidTr="00C70B9F">
        <w:tc>
          <w:tcPr>
            <w:tcW w:w="10177" w:type="dxa"/>
          </w:tcPr>
          <w:p w:rsidR="00234AF7" w:rsidRPr="00234AF7" w:rsidRDefault="00234AF7" w:rsidP="00234AF7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234AF7">
              <w:rPr>
                <w:rFonts w:ascii="Times New Roman" w:hAnsi="Times New Roman" w:cs="Times New Roman"/>
                <w:color w:val="A6A6A6"/>
                <w:sz w:val="24"/>
              </w:rPr>
              <w:t>Шаблон назначения ЛС</w:t>
            </w:r>
          </w:p>
          <w:p w:rsidR="00234AF7" w:rsidRPr="00234AF7" w:rsidRDefault="00234AF7" w:rsidP="00234AF7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</w:rPr>
      </w:pP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</w:rPr>
      </w:pP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</w:pPr>
      <w:r w:rsidRPr="00234AF7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7574F81C" wp14:editId="235F49ED">
            <wp:extent cx="209550" cy="209550"/>
            <wp:effectExtent l="0" t="0" r="0" b="0"/>
            <wp:docPr id="1155" name="Рисунок 1155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4AF7">
        <w:rPr>
          <w:rFonts w:ascii="Times New Roman" w:eastAsia="Calibri" w:hAnsi="Times New Roman" w:cs="Times New Roman"/>
          <w:sz w:val="24"/>
        </w:rPr>
        <w:t xml:space="preserve"> </w:t>
      </w:r>
      <w:r w:rsidRPr="00234AF7">
        <w:rPr>
          <w:rFonts w:ascii="Times New Roman" w:eastAsia="Calibri" w:hAnsi="Times New Roman" w:cs="Times New Roman"/>
          <w:i/>
          <w:color w:val="0070C0"/>
          <w:sz w:val="24"/>
        </w:rPr>
        <w:t xml:space="preserve"> </w:t>
      </w:r>
      <w:proofErr w:type="spellStart"/>
      <w:r w:rsidRPr="00234AF7">
        <w:rPr>
          <w:rFonts w:ascii="Times New Roman" w:eastAsia="Calibri" w:hAnsi="Times New Roman" w:cs="Times New Roman"/>
          <w:b/>
          <w:sz w:val="24"/>
          <w:szCs w:val="26"/>
        </w:rPr>
        <w:t>Апиксабан</w:t>
      </w:r>
      <w:proofErr w:type="spellEnd"/>
      <w:r w:rsidRPr="00234AF7">
        <w:rPr>
          <w:rFonts w:ascii="Times New Roman" w:eastAsia="Calibri" w:hAnsi="Times New Roman" w:cs="Times New Roman"/>
          <w:b/>
          <w:sz w:val="24"/>
          <w:szCs w:val="26"/>
        </w:rPr>
        <w:t xml:space="preserve"> </w:t>
      </w:r>
      <w:r w:rsidRPr="00234AF7"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  <w:t>1; 2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</w:rPr>
      </w:pPr>
      <w:r w:rsidRPr="00234AF7">
        <w:rPr>
          <w:rFonts w:ascii="Times New Roman" w:eastAsia="Calibri" w:hAnsi="Times New Roman" w:cs="Times New Roman"/>
          <w:sz w:val="24"/>
          <w:szCs w:val="26"/>
        </w:rPr>
        <w:t>применяется по 5 мг или 2,5 мг 2 раза в сутки.</w:t>
      </w:r>
      <w:r w:rsidRPr="00234AF7">
        <w:rPr>
          <w:rFonts w:ascii="Times New Roman" w:eastAsia="Calibri" w:hAnsi="Times New Roman" w:cs="Times New Roman"/>
          <w:sz w:val="24"/>
          <w:szCs w:val="26"/>
          <w:vertAlign w:val="superscript"/>
        </w:rPr>
        <w:t>1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i/>
          <w:sz w:val="24"/>
          <w:u w:val="single"/>
        </w:rPr>
      </w:pPr>
      <w:r w:rsidRPr="00234AF7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  <w:vertAlign w:val="superscript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   - применяется при 2 и более из нижеперечисленных критериев: возраст 80 лет и старше, вес 60 кг и меньше, уровень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креатинина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133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ммоль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>/л и больше).</w:t>
      </w:r>
      <w:r w:rsidRPr="00234AF7">
        <w:rPr>
          <w:rFonts w:ascii="Times New Roman" w:eastAsia="Calibri" w:hAnsi="Times New Roman" w:cs="Times New Roman"/>
          <w:sz w:val="24"/>
          <w:vertAlign w:val="superscript"/>
        </w:rPr>
        <w:t>1</w:t>
      </w: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</w:rPr>
      </w:pP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  <w:r w:rsidRPr="00234AF7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234AF7">
        <w:rPr>
          <w:rFonts w:ascii="Times New Roman" w:eastAsia="Calibri" w:hAnsi="Times New Roman" w:cs="Times New Roman"/>
          <w:sz w:val="24"/>
        </w:rPr>
        <w:t xml:space="preserve">   -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апиксабан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(назначаемый внутрь ингибитор фактора </w:t>
      </w:r>
      <w:proofErr w:type="gramStart"/>
      <w:r w:rsidRPr="00234AF7">
        <w:rPr>
          <w:rFonts w:ascii="Times New Roman" w:eastAsia="Calibri" w:hAnsi="Times New Roman" w:cs="Times New Roman"/>
          <w:sz w:val="24"/>
        </w:rPr>
        <w:t>Ха</w:t>
      </w:r>
      <w:proofErr w:type="gramEnd"/>
      <w:r w:rsidRPr="00234AF7">
        <w:rPr>
          <w:rFonts w:ascii="Times New Roman" w:eastAsia="Calibri" w:hAnsi="Times New Roman" w:cs="Times New Roman"/>
          <w:sz w:val="24"/>
        </w:rPr>
        <w:t>), по данным исследования AVERROES (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Apixaban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Versus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Acetylsalicylic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Acid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to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Prevent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 w:rsidRPr="00234AF7">
        <w:rPr>
          <w:rFonts w:ascii="Times New Roman" w:eastAsia="Calibri" w:hAnsi="Times New Roman" w:cs="Times New Roman"/>
          <w:sz w:val="24"/>
        </w:rPr>
        <w:t>Strokes</w:t>
      </w:r>
      <w:proofErr w:type="spellEnd"/>
      <w:r w:rsidRPr="00234AF7">
        <w:rPr>
          <w:rFonts w:ascii="Times New Roman" w:eastAsia="Calibri" w:hAnsi="Times New Roman" w:cs="Times New Roman"/>
          <w:sz w:val="24"/>
        </w:rPr>
        <w:t>), существенно превосходил АСК в отношении профилактики инсульта и системных тромбоэмболий у больных с ФП, которым было невозможно по разным причинам назначить непрямые антикоагулянты.</w:t>
      </w:r>
      <w:r w:rsidRPr="00234AF7">
        <w:rPr>
          <w:rFonts w:ascii="Times New Roman" w:eastAsia="Calibri" w:hAnsi="Times New Roman" w:cs="Times New Roman"/>
          <w:sz w:val="24"/>
          <w:vertAlign w:val="superscript"/>
        </w:rPr>
        <w:t>2</w:t>
      </w: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</w:rPr>
      </w:pPr>
    </w:p>
    <w:tbl>
      <w:tblPr>
        <w:tblStyle w:val="4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234AF7" w:rsidRPr="00234AF7" w:rsidTr="00C70B9F">
        <w:tc>
          <w:tcPr>
            <w:tcW w:w="10177" w:type="dxa"/>
          </w:tcPr>
          <w:p w:rsidR="00234AF7" w:rsidRPr="00234AF7" w:rsidRDefault="00234AF7" w:rsidP="00234AF7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234AF7">
              <w:rPr>
                <w:rFonts w:ascii="Times New Roman" w:hAnsi="Times New Roman" w:cs="Times New Roman"/>
                <w:color w:val="A6A6A6"/>
                <w:sz w:val="24"/>
              </w:rPr>
              <w:t>Шаблон назначения ЛС</w:t>
            </w:r>
          </w:p>
          <w:p w:rsidR="00234AF7" w:rsidRPr="00234AF7" w:rsidRDefault="00234AF7" w:rsidP="00234AF7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</w:rPr>
      </w:pP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</w:rPr>
      </w:pP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  <w:r w:rsidRPr="00234AF7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19A3D766" wp14:editId="3D8B36C7">
            <wp:extent cx="207010" cy="207010"/>
            <wp:effectExtent l="0" t="0" r="2540" b="2540"/>
            <wp:docPr id="1144" name="Рисунок 1144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4AF7">
        <w:rPr>
          <w:rFonts w:ascii="Times New Roman" w:eastAsia="Calibri" w:hAnsi="Times New Roman" w:cs="Times New Roman"/>
          <w:sz w:val="24"/>
        </w:rPr>
        <w:t xml:space="preserve"> </w:t>
      </w:r>
      <w:r w:rsidRPr="00234AF7">
        <w:rPr>
          <w:rFonts w:ascii="Times New Roman" w:eastAsia="Calibri" w:hAnsi="Times New Roman" w:cs="Times New Roman"/>
          <w:i/>
          <w:color w:val="0070C0"/>
          <w:sz w:val="24"/>
        </w:rPr>
        <w:t xml:space="preserve"> </w:t>
      </w:r>
      <w:r w:rsidRPr="00234AF7">
        <w:rPr>
          <w:rFonts w:ascii="Times New Roman" w:eastAsia="Calibri" w:hAnsi="Times New Roman" w:cs="Times New Roman"/>
          <w:b/>
          <w:color w:val="A6A6A6"/>
          <w:sz w:val="24"/>
          <w:szCs w:val="26"/>
        </w:rPr>
        <w:t>Дополнительный раздел</w:t>
      </w:r>
    </w:p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</w:p>
    <w:tbl>
      <w:tblPr>
        <w:tblStyle w:val="4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234AF7" w:rsidRPr="00234AF7" w:rsidTr="00C70B9F">
        <w:tc>
          <w:tcPr>
            <w:tcW w:w="10177" w:type="dxa"/>
          </w:tcPr>
          <w:p w:rsidR="00234AF7" w:rsidRPr="00234AF7" w:rsidRDefault="00234AF7" w:rsidP="00234AF7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234AF7">
              <w:rPr>
                <w:rFonts w:ascii="Times New Roman" w:hAnsi="Times New Roman" w:cs="Times New Roman"/>
                <w:color w:val="A6A6A6"/>
                <w:sz w:val="24"/>
              </w:rPr>
              <w:t>При необходимости переименуйте раздел и введите данные по своему усмотрению</w:t>
            </w:r>
          </w:p>
          <w:p w:rsidR="00234AF7" w:rsidRPr="00234AF7" w:rsidRDefault="00234AF7" w:rsidP="00234AF7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234AF7" w:rsidRPr="00234AF7" w:rsidRDefault="00234AF7" w:rsidP="00234AF7">
      <w:pPr>
        <w:spacing w:after="0"/>
        <w:rPr>
          <w:rFonts w:ascii="Times New Roman" w:eastAsia="Calibri" w:hAnsi="Times New Roman" w:cs="Times New Roman"/>
          <w:sz w:val="24"/>
        </w:rPr>
      </w:pPr>
    </w:p>
    <w:p w:rsidR="00234AF7" w:rsidRPr="00234AF7" w:rsidRDefault="00234AF7" w:rsidP="00234AF7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234AF7">
        <w:rPr>
          <w:rFonts w:ascii="Times New Roman" w:eastAsia="Calibri" w:hAnsi="Times New Roman" w:cs="Times New Roman"/>
          <w:b/>
          <w:sz w:val="24"/>
        </w:rPr>
        <w:t>Дополнительный раздел</w:t>
      </w:r>
      <w:r w:rsidRPr="00234AF7">
        <w:rPr>
          <w:rFonts w:ascii="Times New Roman" w:eastAsia="Calibri" w:hAnsi="Times New Roman" w:cs="Times New Roman"/>
          <w:sz w:val="24"/>
        </w:rPr>
        <w:t xml:space="preserve"> дает возможность изменить заголовок и создать дополнительный раздел на усмотрение специалиста.</w:t>
      </w:r>
    </w:p>
    <w:p w:rsidR="00DB2E0F" w:rsidRPr="00234AF7" w:rsidRDefault="00DB2E0F" w:rsidP="00234AF7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DB2E0F" w:rsidRPr="00234AF7" w:rsidSect="00234AF7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FDF"/>
    <w:rsid w:val="00234AF7"/>
    <w:rsid w:val="00D74FDF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2A372C-C89F-4B7F-A67D-86BB9F6F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4AF7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4">
    <w:name w:val="Сетка таблицы4"/>
    <w:basedOn w:val="a1"/>
    <w:next w:val="a3"/>
    <w:uiPriority w:val="39"/>
    <w:rsid w:val="00234AF7"/>
    <w:pPr>
      <w:spacing w:after="0"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34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1163</Words>
  <Characters>6633</Characters>
  <Application>Microsoft Office Word</Application>
  <DocSecurity>0</DocSecurity>
  <Lines>55</Lines>
  <Paragraphs>15</Paragraphs>
  <ScaleCrop>false</ScaleCrop>
  <Company/>
  <LinksUpToDate>false</LinksUpToDate>
  <CharactersWithSpaces>7781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2022-09-03T13:07:00Z</dcterms:created>
  <dcterms:modified xsi:type="dcterms:W3CDTF">2022-09-03T13:09:00Z</dcterms:modified>
</cp:coreProperties>
</file>