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69E5" w:rsidRPr="00C869E5" w:rsidRDefault="00C869E5" w:rsidP="00C869E5">
      <w:pPr>
        <w:shd w:val="clear" w:color="auto" w:fill="F4B083" w:themeFill="accent2" w:themeFillTint="99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32"/>
          <w:szCs w:val="24"/>
        </w:rPr>
        <w:t>ЛИЧНЫЙ КАБИНЕТ. ПРОГРАММА ИНДИВИДУАЛИЗИРОВАННОЙ ВТОРИЧНОЙ ПРОФИЛАКТИКИ ПОВТОРНОГО СОСУДИСТОГО СОБЫТИЯ ПАЦИЕНТА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C695168" wp14:editId="0F64C672">
            <wp:extent cx="5760000" cy="3239999"/>
            <wp:effectExtent l="190500" t="190500" r="184150" b="189230"/>
            <wp:docPr id="161" name="Рисунок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399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b/>
          <w:color w:val="404040"/>
          <w:sz w:val="24"/>
          <w:szCs w:val="28"/>
        </w:rPr>
        <w:t>Левая часть экрана окна «Личный кабинет</w:t>
      </w: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 xml:space="preserve"> представляет собой программу индивидуализированной вторичной профилактики повторного сосудистого события пациента, при выборе которого на странице «Список пациентов» был осуществлен переход к окну «Личный кабинет». Левая часть состоит из разделов: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Оценка индивидуального риска повторного сосудистого события (клинические шкалы).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Коррекция факторов риска повторного сосудистого события.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Программа восстановление речевого мышления.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Дыхательная, артикуляционная гимнастика.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Медикаментозная терапия.</w:t>
      </w:r>
    </w:p>
    <w:p w:rsidR="00C869E5" w:rsidRPr="00C869E5" w:rsidRDefault="00C869E5" w:rsidP="00C869E5">
      <w:pPr>
        <w:numPr>
          <w:ilvl w:val="0"/>
          <w:numId w:val="1"/>
        </w:numPr>
        <w:spacing w:after="0" w:line="240" w:lineRule="auto"/>
        <w:ind w:left="284" w:hanging="284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Дополнительный раздел.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8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color w:val="404040"/>
          <w:sz w:val="24"/>
          <w:szCs w:val="28"/>
        </w:rPr>
        <w:t>В указанные разделы специалистом переносятся данные из модулей, представленных в правой части окна, либо вносятся специалистом вручную, с возможностью редактирования (удаления, копирования, вырезания текста).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404040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noProof/>
          <w:color w:val="404040"/>
          <w:sz w:val="24"/>
          <w:szCs w:val="28"/>
          <w:lang w:eastAsia="ru-RU"/>
        </w:rPr>
        <w:lastRenderedPageBreak/>
        <w:drawing>
          <wp:inline distT="0" distB="0" distL="0" distR="0" wp14:anchorId="281DB7B7" wp14:editId="171DB915">
            <wp:extent cx="4320000" cy="3338000"/>
            <wp:effectExtent l="190500" t="190500" r="194945" b="186690"/>
            <wp:docPr id="513" name="Рисунок 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338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8"/>
          <w:szCs w:val="30"/>
          <w:lang w:eastAsia="ru-RU"/>
        </w:rPr>
        <w:t>Программа индивидуализированной вторичной профилактики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8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8"/>
          <w:szCs w:val="30"/>
          <w:lang w:eastAsia="ru-RU"/>
        </w:rPr>
        <w:t>повторного сосудистого события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color w:val="404040"/>
          <w:sz w:val="24"/>
          <w:szCs w:val="28"/>
        </w:rPr>
      </w:pP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</w:rPr>
      </w:pPr>
      <w:r w:rsidRPr="00C869E5">
        <w:rPr>
          <w:rFonts w:ascii="Times New Roman" w:eastAsia="Times New Roman" w:hAnsi="Times New Roman" w:cs="Times New Roman"/>
          <w:i/>
          <w:sz w:val="24"/>
          <w:szCs w:val="28"/>
        </w:rPr>
        <w:t>Данные пациента берутся из соответствующих полей документа «Анамнез».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Пациент: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ФИО пациента                                            </w:t>
      </w: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>Дата рождения: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дд.мм.гг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Диагноз: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информация диагноза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hAnsi="Times New Roman" w:cs="Times New Roman"/>
          <w:noProof/>
          <w:lang w:eastAsia="ru-RU"/>
        </w:rPr>
        <w:drawing>
          <wp:inline distT="0" distB="0" distL="0" distR="0">
            <wp:extent cx="209550" cy="209550"/>
            <wp:effectExtent l="0" t="0" r="0" b="0"/>
            <wp:docPr id="1" name="Рисунок 1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7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 xml:space="preserve">Оценка индивидуального риска повторного сосудистого события 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>(клинические шкалы)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color w:val="BFBFBF"/>
                <w:sz w:val="24"/>
                <w:szCs w:val="24"/>
                <w:lang w:val="ru-RU"/>
              </w:rPr>
            </w:pPr>
            <w:r w:rsidRPr="00C869E5">
              <w:rPr>
                <w:b/>
                <w:color w:val="BFBFBF"/>
                <w:sz w:val="24"/>
                <w:szCs w:val="24"/>
                <w:lang w:val="ru-RU"/>
              </w:rPr>
              <w:t>Введите результаты оценки индивидуального риска повторного сосудистого события</w:t>
            </w:r>
          </w:p>
        </w:tc>
      </w:tr>
    </w:tbl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 по оценки индивидуального риска повторного сосудистого события. Данные возможно перенести из модуля «Оценка индивидуального риска повторного сосудистого события (клинические шкалы)» (расположенного в правой части экрана личного кабинета, вкладка «Оценка индивидуального риска») либо заполнить самостоятельно. Внесенные данные сохраняются только для пациента, в личный кабинет которого осуществлен вход.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6A5206AF" wp14:editId="67D76048">
            <wp:extent cx="209550" cy="209550"/>
            <wp:effectExtent l="0" t="0" r="0" b="0"/>
            <wp:docPr id="165" name="Рисунок 165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>Коррекция факторов риска повторного сосудистого события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sz w:val="28"/>
                <w:szCs w:val="24"/>
                <w:lang w:val="ru-RU"/>
              </w:rPr>
            </w:pPr>
            <w:r w:rsidRPr="00C869E5">
              <w:rPr>
                <w:b/>
                <w:color w:val="BFBFBF"/>
                <w:sz w:val="24"/>
                <w:szCs w:val="24"/>
                <w:lang w:val="ru-RU"/>
              </w:rPr>
              <w:t>Введите "Не нуждается" или данные по коррекции факторов риска</w:t>
            </w:r>
          </w:p>
        </w:tc>
      </w:tr>
    </w:tbl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 по коррекции факторов риска повторного сосудистого события. Данные возможно перенести из модуля «Коррекции факторов риска повторного сосудистого события» (расположенного в правой части экрана личного кабинета, вкладка «Коррекции факторов риска») либо заполнить самостоятельно. Внесенные данные сохраняются только для пациента, в личный кабинет которого осуществлен вход.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4C959BE6" wp14:editId="228A960E">
            <wp:extent cx="209550" cy="209550"/>
            <wp:effectExtent l="0" t="0" r="0" b="0"/>
            <wp:docPr id="1056" name="Рисунок 1056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>Программа восстановление речевого мышления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sz w:val="28"/>
                <w:szCs w:val="24"/>
                <w:lang w:val="ru-RU"/>
              </w:rPr>
            </w:pPr>
            <w:r w:rsidRPr="00C869E5">
              <w:rPr>
                <w:b/>
                <w:color w:val="BFBFBF"/>
                <w:sz w:val="24"/>
                <w:szCs w:val="24"/>
                <w:lang w:val="ru-RU"/>
              </w:rPr>
              <w:t>Введите "Не нуждается" или данные по программе восстановления речевого мышления</w:t>
            </w:r>
          </w:p>
        </w:tc>
      </w:tr>
    </w:tbl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 по восстановлению речевого мышления. Данные возможно перенести из модуля «Программы по восстановлению речевого мышления» (расположенного в правой части экрана личного кабинета, вкладка «Восстановление речевого мышления») либо заполнить самостоятельно. Внесенные данные сохраняются только для пациента, в личный кабинет которого осуществлен вход.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39AB6636" wp14:editId="7F7CF842">
            <wp:extent cx="209550" cy="209550"/>
            <wp:effectExtent l="0" t="0" r="0" b="0"/>
            <wp:docPr id="1057" name="Рисунок 1057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>Дыхательная, артикуляционная гимнастика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sz w:val="28"/>
                <w:szCs w:val="24"/>
                <w:lang w:val="ru-RU"/>
              </w:rPr>
            </w:pPr>
            <w:r w:rsidRPr="00C869E5">
              <w:rPr>
                <w:b/>
                <w:color w:val="BFBFBF"/>
                <w:sz w:val="24"/>
                <w:szCs w:val="24"/>
                <w:lang w:val="ru-RU"/>
              </w:rPr>
              <w:t>Введите "Не нуждается" или данные по дыхательной, артикуляционной гимнастике</w:t>
            </w:r>
          </w:p>
        </w:tc>
      </w:tr>
    </w:tbl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 по дыхательной, артикуляционной гимнастики. Данные возможно перенести из модуля «Дыхательная, артикуляционная гимнастика» (расположенного в правой части экрана личного кабинета, вкладка «Дыхательная гимнастика») либо заполнить самостоятельно. Внесенные данные сохраняются только для пациента, в личный кабинет которого осуществлен вход.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784D0997" wp14:editId="3E75CB62">
            <wp:extent cx="209550" cy="209550"/>
            <wp:effectExtent l="0" t="0" r="0" b="0"/>
            <wp:docPr id="1058" name="Рисунок 1058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sz w:val="28"/>
          <w:szCs w:val="24"/>
        </w:rPr>
        <w:t>Медикаментозная терапия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sz w:val="28"/>
                <w:szCs w:val="24"/>
              </w:rPr>
            </w:pPr>
            <w:proofErr w:type="spellStart"/>
            <w:r w:rsidRPr="00C869E5">
              <w:rPr>
                <w:b/>
                <w:color w:val="BFBFBF"/>
                <w:sz w:val="24"/>
                <w:szCs w:val="24"/>
              </w:rPr>
              <w:t>Введите</w:t>
            </w:r>
            <w:proofErr w:type="spellEnd"/>
            <w:r w:rsidRPr="00C869E5">
              <w:rPr>
                <w:b/>
                <w:color w:val="BFBFBF"/>
                <w:sz w:val="24"/>
                <w:szCs w:val="24"/>
              </w:rPr>
              <w:t xml:space="preserve"> </w:t>
            </w:r>
            <w:proofErr w:type="spellStart"/>
            <w:r w:rsidRPr="00C869E5">
              <w:rPr>
                <w:b/>
                <w:color w:val="BFBFBF"/>
                <w:sz w:val="24"/>
                <w:szCs w:val="24"/>
              </w:rPr>
              <w:t>данные</w:t>
            </w:r>
            <w:proofErr w:type="spellEnd"/>
          </w:p>
        </w:tc>
      </w:tr>
    </w:tbl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 по медикаментозной терапии. Данные возможно перенести из модуля «Медикаментозная профилактика повторного сосудистого события (лекарственная терапия)» (расположенного в правой части экрана личного кабинета, вкладка «Медикаментозная терапия») либо заполнить самостоятельно. Внесенные данные сохраняются только для пациента, в личный кабинет которого осуществлен вход.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48084D3C" wp14:editId="0187E073">
            <wp:extent cx="209550" cy="209550"/>
            <wp:effectExtent l="0" t="0" r="0" b="0"/>
            <wp:docPr id="1059" name="Рисунок 1059" descr="Марке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55" descr="Маркер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color w:val="BFBFBF"/>
          <w:sz w:val="28"/>
          <w:szCs w:val="24"/>
        </w:rPr>
        <w:t>Дополнительный раздел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4"/>
        </w:rPr>
      </w:pPr>
    </w:p>
    <w:tbl>
      <w:tblPr>
        <w:tblStyle w:val="80"/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18"/>
      </w:tblGrid>
      <w:tr w:rsidR="00C869E5" w:rsidRPr="00C869E5" w:rsidTr="00C70B9F">
        <w:tc>
          <w:tcPr>
            <w:tcW w:w="11016" w:type="dxa"/>
          </w:tcPr>
          <w:p w:rsidR="00C869E5" w:rsidRPr="00C869E5" w:rsidRDefault="00C869E5" w:rsidP="00C869E5">
            <w:pPr>
              <w:spacing w:after="120"/>
              <w:rPr>
                <w:b/>
                <w:sz w:val="28"/>
                <w:szCs w:val="24"/>
                <w:lang w:val="ru-RU"/>
              </w:rPr>
            </w:pPr>
            <w:r w:rsidRPr="00C869E5">
              <w:rPr>
                <w:b/>
                <w:color w:val="BFBFBF"/>
                <w:sz w:val="24"/>
                <w:szCs w:val="24"/>
                <w:lang w:val="ru-RU"/>
              </w:rPr>
              <w:t>При необходимости переименуйте раздел и введите данные по своему усмотрению</w:t>
            </w:r>
          </w:p>
        </w:tc>
      </w:tr>
    </w:tbl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Раздел предназначен для внесения специалистом данных, не предусмотренных предыдущими разделами. Данные заполняются специалистом самостоятельно (с клавиатуры). Внесенные данные сохраняются только для пациента, в личный кабинет которого осуществлен вход</w:t>
      </w:r>
    </w:p>
    <w:p w:rsid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pStyle w:val="a4"/>
        <w:shd w:val="clear" w:color="auto" w:fill="FBE4D5" w:themeFill="accent2" w:themeFillTint="33"/>
        <w:jc w:val="center"/>
        <w:rPr>
          <w:rFonts w:ascii="Times New Roman" w:hAnsi="Times New Roman" w:cs="Times New Roman"/>
          <w:b/>
          <w:bCs/>
          <w:sz w:val="28"/>
        </w:rPr>
      </w:pPr>
      <w:r w:rsidRPr="00C869E5">
        <w:rPr>
          <w:rFonts w:ascii="Times New Roman" w:hAnsi="Times New Roman" w:cs="Times New Roman"/>
          <w:b/>
          <w:bCs/>
          <w:sz w:val="28"/>
        </w:rPr>
        <w:t>Вывод на печать программы индивидуализированной вторичной профилактики повторного сосудистого события пациента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hd w:val="clear" w:color="auto" w:fill="F2F2F2" w:themeFill="background1" w:themeFillShade="F2"/>
          <w:lang w:eastAsia="ru-RU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  <w:shd w:val="clear" w:color="auto" w:fill="F2F2F2" w:themeFill="background1" w:themeFillShade="F2"/>
        </w:rPr>
        <w:lastRenderedPageBreak/>
        <w:t xml:space="preserve">  Для печати программы индивидуализированной вторичной профилактики</w:t>
      </w: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повторного сосудистого события пациента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, на страницу которого осуществлен вход, нажмите </w:t>
      </w:r>
      <w:proofErr w:type="gramStart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кнопку </w:t>
      </w: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4BA5399" wp14:editId="0B25FACA">
            <wp:extent cx="285750" cy="247650"/>
            <wp:effectExtent l="0" t="0" r="0" b="0"/>
            <wp:docPr id="1060" name="Рисунок 1060" descr="Печа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Печать иконка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Откроется</w:t>
      </w:r>
      <w:proofErr w:type="gram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окно выбора документов для печати. 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12CD08" wp14:editId="2B5087D8">
            <wp:extent cx="2160000" cy="2300000"/>
            <wp:effectExtent l="190500" t="190500" r="183515" b="195580"/>
            <wp:docPr id="1061" name="Рисунок 1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30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t xml:space="preserve"> </w:t>
      </w: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B783E70" wp14:editId="5F0027C7">
            <wp:extent cx="2160000" cy="2284275"/>
            <wp:effectExtent l="190500" t="190500" r="183515" b="192405"/>
            <wp:docPr id="1079" name="Рисунок 1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842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Выберите пункт «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Програм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. индивид. 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вторич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. профилактики повтор. сосуд. события», становятся доступным разделы программы индивидуализированной вторичной профилактики для выбора (по умолчанию выбраны все). Выберите необходимые разделы и нажмите </w:t>
      </w:r>
      <w:proofErr w:type="gramStart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кнопку </w:t>
      </w: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02D603" wp14:editId="1BD8E6F7">
            <wp:extent cx="609600" cy="247650"/>
            <wp:effectExtent l="0" t="0" r="0" b="0"/>
            <wp:docPr id="1063" name="Рисунок 1063" descr="Печать (текс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Печать (текс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i/>
          <w:sz w:val="24"/>
          <w:szCs w:val="24"/>
        </w:rPr>
        <w:t xml:space="preserve">Для печати используется принтер, установленный в </w:t>
      </w:r>
      <w:r w:rsidRPr="00C869E5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Windows</w:t>
      </w:r>
      <w:r w:rsidRPr="00C869E5">
        <w:rPr>
          <w:rFonts w:ascii="Times New Roman" w:eastAsia="Times New Roman" w:hAnsi="Times New Roman" w:cs="Times New Roman"/>
          <w:i/>
          <w:sz w:val="24"/>
          <w:szCs w:val="24"/>
        </w:rPr>
        <w:t xml:space="preserve"> по умолчанию. 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При выводе на печать, в верхней части страницы добавляется текст: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  <w:t>Программа индивидуализированной вторичной профилактики</w:t>
      </w:r>
    </w:p>
    <w:p w:rsidR="00C869E5" w:rsidRPr="00C869E5" w:rsidRDefault="00C869E5" w:rsidP="00C869E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  <w:t>повторного сосудистого события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  <w:t xml:space="preserve">            </w:t>
      </w: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>Пациент: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ФИО пациента                                          </w:t>
      </w: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>Дата рождения: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дд.мм.гг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Диагноз: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информация диагноза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pStyle w:val="a4"/>
        <w:shd w:val="clear" w:color="auto" w:fill="FBE4D5" w:themeFill="accent2" w:themeFillTint="33"/>
        <w:jc w:val="center"/>
        <w:rPr>
          <w:rFonts w:ascii="Times New Roman" w:hAnsi="Times New Roman" w:cs="Times New Roman"/>
          <w:b/>
          <w:bCs/>
          <w:sz w:val="28"/>
        </w:rPr>
      </w:pPr>
      <w:r w:rsidRPr="00C869E5">
        <w:rPr>
          <w:rFonts w:ascii="Times New Roman" w:hAnsi="Times New Roman" w:cs="Times New Roman"/>
          <w:b/>
          <w:bCs/>
          <w:sz w:val="28"/>
        </w:rPr>
        <w:t>Сохранение программы индивидуализированной вторичной профилактики повторного сосудистого события пациента на ПК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Calibri" w:hAnsi="Times New Roman" w:cs="Times New Roman"/>
          <w:noProof/>
          <w:shd w:val="clear" w:color="auto" w:fill="F2F2F2" w:themeFill="background1" w:themeFillShade="F2"/>
          <w:lang w:eastAsia="ru-RU"/>
        </w:rPr>
      </w:pP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  Для сохранения программы индивидуализированной вторичной профилактики повторного сосудистого события пациента, на страницу которого осуществлен вход на ПК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, нажмите </w:t>
      </w:r>
      <w:proofErr w:type="gramStart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кнопку </w:t>
      </w: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215C35" wp14:editId="79DB4C38">
            <wp:extent cx="285750" cy="247650"/>
            <wp:effectExtent l="0" t="0" r="0" b="0"/>
            <wp:docPr id="1064" name="Рисунок 1064" descr="Сохранить иконк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Сохранить иконка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Откроется окно выбора документов для сохранения. 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D0800FE" wp14:editId="671B0BD4">
            <wp:extent cx="2160000" cy="2280000"/>
            <wp:effectExtent l="190500" t="190500" r="183515" b="196850"/>
            <wp:docPr id="1065" name="Рисунок 1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800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t xml:space="preserve"> </w:t>
      </w:r>
      <w:r w:rsidRPr="00C869E5">
        <w:rPr>
          <w:rFonts w:ascii="Times New Roman" w:eastAsia="Times New Roman" w:hAnsi="Times New Roman" w:cs="Times New Roman"/>
          <w:noProof/>
          <w:sz w:val="18"/>
          <w:szCs w:val="24"/>
          <w:lang w:eastAsia="ru-RU"/>
        </w:rPr>
        <w:drawing>
          <wp:inline distT="0" distB="0" distL="0" distR="0" wp14:anchorId="13A1B217" wp14:editId="3D39C950">
            <wp:extent cx="2160000" cy="2278356"/>
            <wp:effectExtent l="190500" t="190500" r="183515" b="198755"/>
            <wp:docPr id="1080" name="Рисунок 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27835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lastRenderedPageBreak/>
        <w:t>Выберите пункт «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Програм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. индивид. 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вторич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. профилактики повтор. сосуд. события», </w:t>
      </w:r>
      <w:proofErr w:type="gramStart"/>
      <w:r w:rsidRPr="00C869E5">
        <w:rPr>
          <w:rFonts w:ascii="Times New Roman" w:eastAsia="Times New Roman" w:hAnsi="Times New Roman" w:cs="Times New Roman"/>
          <w:sz w:val="24"/>
          <w:szCs w:val="24"/>
        </w:rPr>
        <w:t>Становятся</w:t>
      </w:r>
      <w:proofErr w:type="gram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доступным разделы программы индивидуализированной вторичной профилактики для выбора (по умолчанию выбраны все). Выберите необходимые разделы и нажмите </w:t>
      </w:r>
      <w:proofErr w:type="gramStart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кнопку </w:t>
      </w: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CECDB4D" wp14:editId="55A5FFA0">
            <wp:extent cx="1067294" cy="252000"/>
            <wp:effectExtent l="0" t="0" r="0" b="0"/>
            <wp:docPr id="1067" name="Рисунок 1067" descr="C:\Users\katam\AppData\Local\Microsoft\Windows\INetCache\Content.Word\Сохранить ка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C:\Users\katam\AppData\Local\Microsoft\Windows\INetCache\Content.Word\Сохранить как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7294" cy="25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Откроется стандартное окно </w:t>
      </w:r>
      <w:r w:rsidRPr="00C869E5"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для выбора имени файла и места сохранения.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C4C7145" wp14:editId="7BA23D3A">
            <wp:extent cx="3240000" cy="2336374"/>
            <wp:effectExtent l="190500" t="190500" r="189230" b="197485"/>
            <wp:docPr id="1068" name="Рисунок 1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363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Назовите файл, выберите место сохранения и нажмите кнопку «Сохранить». Документ сохраняется в формате </w:t>
      </w:r>
      <w:r w:rsidRPr="00C869E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  <w:r w:rsidRPr="00C869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html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sz w:val="24"/>
          <w:szCs w:val="24"/>
        </w:rPr>
        <w:t>При сохранении в файл, в верхней части страницы добавляется текст:</w:t>
      </w:r>
    </w:p>
    <w:p w:rsidR="00C869E5" w:rsidRPr="00C869E5" w:rsidRDefault="00C869E5" w:rsidP="00C869E5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  <w:t>Программа индивидуализированной вторичной профилактики</w:t>
      </w:r>
    </w:p>
    <w:p w:rsidR="00C869E5" w:rsidRPr="00C869E5" w:rsidRDefault="00C869E5" w:rsidP="00C869E5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</w:pPr>
      <w:r w:rsidRPr="00C869E5">
        <w:rPr>
          <w:rFonts w:ascii="Times New Roman" w:eastAsia="Times New Roman" w:hAnsi="Times New Roman" w:cs="Times New Roman"/>
          <w:b/>
          <w:bCs/>
          <w:color w:val="333333"/>
          <w:sz w:val="24"/>
          <w:szCs w:val="30"/>
          <w:lang w:eastAsia="ru-RU"/>
        </w:rPr>
        <w:t>повторного сосудистого события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i/>
          <w:color w:val="0070C0"/>
          <w:sz w:val="24"/>
          <w:szCs w:val="24"/>
        </w:rPr>
        <w:t xml:space="preserve"> </w:t>
      </w:r>
      <w:r w:rsidRPr="00C869E5">
        <w:rPr>
          <w:rFonts w:ascii="Times New Roman" w:eastAsia="Times New Roman" w:hAnsi="Times New Roman" w:cs="Times New Roman"/>
          <w:b/>
          <w:i/>
          <w:color w:val="0070C0"/>
          <w:sz w:val="24"/>
          <w:szCs w:val="28"/>
        </w:rPr>
        <w:t xml:space="preserve"> </w:t>
      </w:r>
    </w:p>
    <w:p w:rsidR="00C869E5" w:rsidRPr="00C869E5" w:rsidRDefault="00C869E5" w:rsidP="00C869E5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>Пациент: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ФИО пациента                                          </w:t>
      </w: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>Дата рождения: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869E5">
        <w:rPr>
          <w:rFonts w:ascii="Times New Roman" w:eastAsia="Times New Roman" w:hAnsi="Times New Roman" w:cs="Times New Roman"/>
          <w:sz w:val="24"/>
          <w:szCs w:val="24"/>
        </w:rPr>
        <w:t>дд.мм.гг</w:t>
      </w:r>
      <w:proofErr w:type="spellEnd"/>
      <w:r w:rsidRPr="00C869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869E5" w:rsidRPr="00C869E5" w:rsidRDefault="00C869E5" w:rsidP="00C869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869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Диагноз:</w:t>
      </w:r>
      <w:r w:rsidRPr="00C869E5">
        <w:rPr>
          <w:rFonts w:ascii="Times New Roman" w:eastAsia="Times New Roman" w:hAnsi="Times New Roman" w:cs="Times New Roman"/>
          <w:sz w:val="24"/>
          <w:szCs w:val="24"/>
        </w:rPr>
        <w:t xml:space="preserve"> информация диагноза</w:t>
      </w:r>
    </w:p>
    <w:p w:rsidR="00DB2E0F" w:rsidRPr="00C869E5" w:rsidRDefault="00DB2E0F" w:rsidP="00C869E5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DB2E0F" w:rsidRPr="00C869E5" w:rsidSect="00C869E5">
      <w:pgSz w:w="11906" w:h="16838"/>
      <w:pgMar w:top="680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1904E8"/>
    <w:multiLevelType w:val="hybridMultilevel"/>
    <w:tmpl w:val="C9ECF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C64"/>
    <w:rsid w:val="009F7C64"/>
    <w:rsid w:val="00C869E5"/>
    <w:rsid w:val="00DB2E0F"/>
    <w:rsid w:val="00DC4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01B7D0D-DAC3-4DC9-87F9-8635533BA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69E5"/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0">
    <w:name w:val="Сетка таблицы80"/>
    <w:basedOn w:val="a1"/>
    <w:next w:val="a3"/>
    <w:uiPriority w:val="39"/>
    <w:rsid w:val="00C869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[Без стиля]"/>
    <w:rsid w:val="00C869E5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Cs w:val="24"/>
    </w:rPr>
  </w:style>
  <w:style w:type="table" w:styleId="a3">
    <w:name w:val="Table Grid"/>
    <w:basedOn w:val="a1"/>
    <w:uiPriority w:val="39"/>
    <w:rsid w:val="00C869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931</Words>
  <Characters>5309</Characters>
  <Application>Microsoft Office Word</Application>
  <DocSecurity>0</DocSecurity>
  <Lines>44</Lines>
  <Paragraphs>12</Paragraphs>
  <ScaleCrop>false</ScaleCrop>
  <Company/>
  <LinksUpToDate>false</LinksUpToDate>
  <CharactersWithSpaces>6228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Pokrovskiy</dc:creator>
  <cp:keywords/>
  <dc:description/>
  <cp:lastModifiedBy>Nikolay Pokrovskiy</cp:lastModifiedBy>
  <cp:revision>2</cp:revision>
  <dcterms:created xsi:type="dcterms:W3CDTF">2022-09-03T13:11:00Z</dcterms:created>
  <dcterms:modified xsi:type="dcterms:W3CDTF">2022-09-03T13:13:00Z</dcterms:modified>
</cp:coreProperties>
</file>