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8DC" w:rsidRPr="00F72C1B" w:rsidRDefault="00B228DC" w:rsidP="00B228DC">
      <w:pPr>
        <w:shd w:val="clear" w:color="auto" w:fill="F7CAAC" w:themeFill="accent2" w:themeFillTint="66"/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72C1B">
        <w:rPr>
          <w:rFonts w:ascii="Times New Roman" w:eastAsia="Calibri" w:hAnsi="Times New Roman" w:cs="Times New Roman"/>
          <w:b/>
          <w:sz w:val="28"/>
          <w:szCs w:val="28"/>
        </w:rPr>
        <w:t xml:space="preserve">ШКАЛА ОЦЕНКИ РИСКА ПОВТОРНОГО ИНСУЛЬТА </w:t>
      </w:r>
    </w:p>
    <w:p w:rsidR="00B228DC" w:rsidRPr="00F72C1B" w:rsidRDefault="00B228DC" w:rsidP="00B228DC">
      <w:pPr>
        <w:shd w:val="clear" w:color="auto" w:fill="F7CAAC" w:themeFill="accent2" w:themeFillTint="66"/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72C1B">
        <w:rPr>
          <w:rFonts w:ascii="Times New Roman" w:eastAsia="Calibri" w:hAnsi="Times New Roman" w:cs="Times New Roman"/>
          <w:b/>
          <w:sz w:val="28"/>
          <w:szCs w:val="28"/>
          <w:lang w:val="en-US"/>
        </w:rPr>
        <w:t>Essen</w:t>
      </w:r>
      <w:r w:rsidRPr="00F72C1B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8"/>
          <w:szCs w:val="28"/>
          <w:lang w:val="en-US"/>
        </w:rPr>
        <w:t>Stroke</w:t>
      </w:r>
      <w:r w:rsidRPr="00F72C1B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8"/>
          <w:szCs w:val="28"/>
          <w:lang w:val="en-US"/>
        </w:rPr>
        <w:t>Risk</w:t>
      </w:r>
      <w:r w:rsidRPr="00F72C1B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8"/>
          <w:szCs w:val="28"/>
          <w:lang w:val="en-US"/>
        </w:rPr>
        <w:t>Score</w:t>
      </w:r>
      <w:r w:rsidRPr="00F72C1B">
        <w:rPr>
          <w:rFonts w:ascii="Times New Roman" w:eastAsia="Calibri" w:hAnsi="Times New Roman" w:cs="Times New Roman"/>
          <w:b/>
          <w:sz w:val="28"/>
          <w:szCs w:val="28"/>
        </w:rPr>
        <w:t xml:space="preserve"> (</w:t>
      </w:r>
      <w:r w:rsidRPr="00F72C1B">
        <w:rPr>
          <w:rFonts w:ascii="Times New Roman" w:eastAsia="Calibri" w:hAnsi="Times New Roman" w:cs="Times New Roman"/>
          <w:b/>
          <w:sz w:val="28"/>
          <w:szCs w:val="28"/>
          <w:lang w:val="en-US"/>
        </w:rPr>
        <w:t>ESRS</w:t>
      </w:r>
      <w:r w:rsidRPr="00F72C1B">
        <w:rPr>
          <w:rFonts w:ascii="Times New Roman" w:eastAsia="Calibri" w:hAnsi="Times New Roman" w:cs="Times New Roman"/>
          <w:b/>
          <w:sz w:val="28"/>
          <w:szCs w:val="28"/>
        </w:rPr>
        <w:t>)</w:t>
      </w:r>
    </w:p>
    <w:p w:rsidR="00B228DC" w:rsidRPr="00F72C1B" w:rsidRDefault="00B228DC" w:rsidP="00B228DC">
      <w:pPr>
        <w:spacing w:after="0"/>
        <w:jc w:val="center"/>
        <w:rPr>
          <w:rFonts w:ascii="Times New Roman" w:eastAsia="Calibri" w:hAnsi="Times New Roman" w:cs="Times New Roman"/>
          <w:i/>
          <w:sz w:val="24"/>
          <w:szCs w:val="28"/>
        </w:rPr>
      </w:pPr>
      <w:r w:rsidRPr="006B6387">
        <w:rPr>
          <w:rFonts w:cstheme="minorHAnsi"/>
          <w:i/>
          <w:noProof/>
          <w:szCs w:val="28"/>
          <w:lang w:eastAsia="ru-RU"/>
        </w:rPr>
        <w:drawing>
          <wp:inline distT="0" distB="0" distL="0" distR="0" wp14:anchorId="56FD04C6" wp14:editId="43ACFCEA">
            <wp:extent cx="5759877" cy="3239930"/>
            <wp:effectExtent l="190500" t="190500" r="184150" b="18923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877" cy="3239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28DC" w:rsidRPr="00F72C1B" w:rsidRDefault="00B228DC" w:rsidP="00B228DC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72C1B">
        <w:rPr>
          <w:rFonts w:ascii="Times New Roman" w:eastAsia="Calibri" w:hAnsi="Times New Roman" w:cs="Times New Roman"/>
          <w:b/>
          <w:sz w:val="28"/>
          <w:szCs w:val="28"/>
        </w:rPr>
        <w:t>Шкала оценки риска повторного инсульта</w:t>
      </w:r>
    </w:p>
    <w:p w:rsidR="00B228DC" w:rsidRPr="00F72C1B" w:rsidRDefault="00B228DC" w:rsidP="00B228DC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72C1B">
        <w:rPr>
          <w:rFonts w:ascii="Times New Roman" w:eastAsia="Calibri" w:hAnsi="Times New Roman" w:cs="Times New Roman"/>
          <w:b/>
          <w:sz w:val="28"/>
          <w:szCs w:val="28"/>
          <w:lang w:val="en-US"/>
        </w:rPr>
        <w:t>Essen</w:t>
      </w:r>
      <w:r w:rsidRPr="00F72C1B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8"/>
          <w:szCs w:val="28"/>
          <w:lang w:val="en-US"/>
        </w:rPr>
        <w:t>Stroke</w:t>
      </w:r>
      <w:r w:rsidRPr="00F72C1B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8"/>
          <w:szCs w:val="28"/>
          <w:lang w:val="en-US"/>
        </w:rPr>
        <w:t>Risk</w:t>
      </w:r>
      <w:r w:rsidRPr="00F72C1B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8"/>
          <w:szCs w:val="28"/>
          <w:lang w:val="en-US"/>
        </w:rPr>
        <w:t>Score</w:t>
      </w:r>
      <w:r w:rsidRPr="00F72C1B">
        <w:rPr>
          <w:rFonts w:ascii="Times New Roman" w:eastAsia="Calibri" w:hAnsi="Times New Roman" w:cs="Times New Roman"/>
          <w:b/>
          <w:sz w:val="28"/>
          <w:szCs w:val="28"/>
        </w:rPr>
        <w:t xml:space="preserve"> (</w:t>
      </w:r>
      <w:r w:rsidRPr="00F72C1B">
        <w:rPr>
          <w:rFonts w:ascii="Times New Roman" w:eastAsia="Calibri" w:hAnsi="Times New Roman" w:cs="Times New Roman"/>
          <w:b/>
          <w:sz w:val="28"/>
          <w:szCs w:val="28"/>
          <w:lang w:val="en-US"/>
        </w:rPr>
        <w:t>ESRS</w:t>
      </w:r>
      <w:r w:rsidRPr="00F72C1B">
        <w:rPr>
          <w:rFonts w:ascii="Times New Roman" w:eastAsia="Calibri" w:hAnsi="Times New Roman" w:cs="Times New Roman"/>
          <w:b/>
          <w:sz w:val="28"/>
          <w:szCs w:val="28"/>
        </w:rPr>
        <w:t>)</w:t>
      </w:r>
    </w:p>
    <w:p w:rsidR="00B228DC" w:rsidRPr="00F72C1B" w:rsidRDefault="00B228DC" w:rsidP="00B228DC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8"/>
        </w:rPr>
      </w:pPr>
    </w:p>
    <w:p w:rsidR="00B228DC" w:rsidRPr="00B228DC" w:rsidRDefault="00B228DC" w:rsidP="00B228DC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28D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07950" distR="107950" simplePos="0" relativeHeight="251667456" behindDoc="1" locked="0" layoutInCell="1" allowOverlap="1" wp14:anchorId="5E6F86CE" wp14:editId="779378F4">
            <wp:simplePos x="0" y="0"/>
            <wp:positionH relativeFrom="column">
              <wp:posOffset>2782570</wp:posOffset>
            </wp:positionH>
            <wp:positionV relativeFrom="paragraph">
              <wp:posOffset>83185</wp:posOffset>
            </wp:positionV>
            <wp:extent cx="3103245" cy="3239770"/>
            <wp:effectExtent l="190500" t="190500" r="192405" b="189230"/>
            <wp:wrapTight wrapText="left">
              <wp:wrapPolygon edited="0">
                <wp:start x="265" y="-1270"/>
                <wp:lineTo x="-1326" y="-1016"/>
                <wp:lineTo x="-1193" y="21465"/>
                <wp:lineTo x="133" y="22481"/>
                <wp:lineTo x="265" y="22735"/>
                <wp:lineTo x="21215" y="22735"/>
                <wp:lineTo x="21348" y="22481"/>
                <wp:lineTo x="22674" y="21465"/>
                <wp:lineTo x="22807" y="1016"/>
                <wp:lineTo x="21348" y="-889"/>
                <wp:lineTo x="21215" y="-1270"/>
                <wp:lineTo x="265" y="-1270"/>
              </wp:wrapPolygon>
            </wp:wrapTight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3239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28DC">
        <w:rPr>
          <w:rFonts w:ascii="Times New Roman" w:hAnsi="Times New Roman" w:cs="Times New Roman"/>
          <w:sz w:val="24"/>
          <w:szCs w:val="24"/>
        </w:rPr>
        <w:t xml:space="preserve"> </w:t>
      </w:r>
      <w:r w:rsidRPr="00B228DC">
        <w:rPr>
          <w:rFonts w:ascii="Times New Roman" w:hAnsi="Times New Roman" w:cs="Times New Roman"/>
          <w:noProof/>
          <w:sz w:val="24"/>
          <w:szCs w:val="24"/>
          <w:lang w:eastAsia="ru-RU"/>
        </w:rPr>
        <w:t>В колонке «Выбор», при помощи выпадающих меню, выбрать нужные данные</w:t>
      </w:r>
      <w:r w:rsidRPr="00B228DC">
        <w:rPr>
          <w:rFonts w:ascii="Times New Roman" w:eastAsia="Calibri" w:hAnsi="Times New Roman" w:cs="Times New Roman"/>
          <w:sz w:val="24"/>
          <w:szCs w:val="24"/>
        </w:rPr>
        <w:t xml:space="preserve">. Нажать кнопку "Подвести итог" для заполнения ячейки «Вывод». Для добавления результата из ячейки «Вывод» в персональную программу индивидуализированной вторичной профилактики повторного сосудистого события пациента (в личный кабинет которого осуществлено вход) нажать на кнопку "+" </w:t>
      </w:r>
    </w:p>
    <w:p w:rsidR="00B228DC" w:rsidRPr="00F72C1B" w:rsidRDefault="00B228DC" w:rsidP="00B228DC">
      <w:pPr>
        <w:spacing w:after="0"/>
        <w:jc w:val="center"/>
        <w:rPr>
          <w:rFonts w:ascii="Times New Roman" w:eastAsia="Calibri" w:hAnsi="Times New Roman" w:cs="Times New Roman"/>
          <w:color w:val="0070C0"/>
          <w:sz w:val="24"/>
          <w:szCs w:val="28"/>
        </w:rPr>
      </w:pPr>
    </w:p>
    <w:p w:rsidR="00B228DC" w:rsidRPr="00F72C1B" w:rsidRDefault="00B228DC" w:rsidP="00B228DC">
      <w:pPr>
        <w:pStyle w:val="a3"/>
        <w:autoSpaceDE w:val="0"/>
        <w:autoSpaceDN w:val="0"/>
        <w:adjustRightInd w:val="0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</w:rPr>
      </w:pPr>
    </w:p>
    <w:p w:rsidR="00B228DC" w:rsidRPr="00F72C1B" w:rsidRDefault="00B228DC" w:rsidP="00B228DC">
      <w:pPr>
        <w:pStyle w:val="a3"/>
        <w:autoSpaceDE w:val="0"/>
        <w:autoSpaceDN w:val="0"/>
        <w:adjustRightInd w:val="0"/>
        <w:spacing w:after="0" w:line="240" w:lineRule="auto"/>
        <w:ind w:left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F72C1B"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w:br w:type="textWrapping" w:clear="all"/>
      </w:r>
    </w:p>
    <w:p w:rsidR="00B228DC" w:rsidRPr="00F72C1B" w:rsidRDefault="00B228DC" w:rsidP="00B228DC">
      <w:pPr>
        <w:pStyle w:val="a3"/>
        <w:autoSpaceDE w:val="0"/>
        <w:autoSpaceDN w:val="0"/>
        <w:adjustRightInd w:val="0"/>
        <w:spacing w:after="0" w:line="240" w:lineRule="auto"/>
        <w:ind w:left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F72C1B">
        <w:rPr>
          <w:rFonts w:ascii="Times New Roman" w:hAnsi="Times New Roman" w:cs="Times New Roman"/>
          <w:b/>
          <w:sz w:val="24"/>
          <w:szCs w:val="24"/>
        </w:rPr>
        <w:t>Меню «Возраст пациента (лет)»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2C1B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6F942CF6" wp14:editId="228DD12E">
            <wp:simplePos x="0" y="0"/>
            <wp:positionH relativeFrom="column">
              <wp:posOffset>38100</wp:posOffset>
            </wp:positionH>
            <wp:positionV relativeFrom="paragraph">
              <wp:posOffset>43815</wp:posOffset>
            </wp:positionV>
            <wp:extent cx="610910" cy="720000"/>
            <wp:effectExtent l="0" t="0" r="0" b="4445"/>
            <wp:wrapTight wrapText="bothSides">
              <wp:wrapPolygon edited="0">
                <wp:start x="0" y="0"/>
                <wp:lineTo x="0" y="21162"/>
                <wp:lineTo x="20881" y="21162"/>
                <wp:lineTo x="20881" y="0"/>
                <wp:lineTo x="0" y="0"/>
              </wp:wrapPolygon>
            </wp:wrapTight>
            <wp:docPr id="472" name="Рисунок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1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hAnsi="Times New Roman" w:cs="Times New Roman"/>
          <w:sz w:val="24"/>
          <w:szCs w:val="24"/>
        </w:rPr>
        <w:t>&lt;65 лет - 0 бал.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72C1B">
        <w:rPr>
          <w:rFonts w:ascii="Times New Roman" w:hAnsi="Times New Roman" w:cs="Times New Roman"/>
          <w:sz w:val="24"/>
          <w:szCs w:val="24"/>
        </w:rPr>
        <w:t xml:space="preserve">65-75 лет - 1 бал.    </w:t>
      </w:r>
    </w:p>
    <w:p w:rsidR="00B228DC" w:rsidRPr="00F72C1B" w:rsidRDefault="00B228DC" w:rsidP="00B228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2C1B">
        <w:rPr>
          <w:rFonts w:ascii="Times New Roman" w:hAnsi="Times New Roman" w:cs="Times New Roman"/>
          <w:sz w:val="24"/>
          <w:szCs w:val="24"/>
        </w:rPr>
        <w:t xml:space="preserve">&gt;75 лет – 2 бал.                                                                                                                                  </w:t>
      </w:r>
    </w:p>
    <w:p w:rsidR="00B228DC" w:rsidRPr="00F72C1B" w:rsidRDefault="00B228DC" w:rsidP="00B228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228DC" w:rsidRPr="00F72C1B" w:rsidRDefault="00B228DC" w:rsidP="00B228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228DC" w:rsidRPr="00F72C1B" w:rsidRDefault="00B228DC" w:rsidP="00B228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72C1B">
        <w:rPr>
          <w:rFonts w:ascii="Times New Roman" w:hAnsi="Times New Roman" w:cs="Times New Roman"/>
          <w:b/>
          <w:sz w:val="24"/>
          <w:szCs w:val="24"/>
        </w:rPr>
        <w:t>Меню «Артериальная гипертензия»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0288" behindDoc="1" locked="0" layoutInCell="1" allowOverlap="1" wp14:anchorId="359E9645" wp14:editId="1FF7B6A0">
            <wp:simplePos x="0" y="0"/>
            <wp:positionH relativeFrom="column">
              <wp:posOffset>38100</wp:posOffset>
            </wp:positionH>
            <wp:positionV relativeFrom="paragraph">
              <wp:posOffset>35560</wp:posOffset>
            </wp:positionV>
            <wp:extent cx="574178" cy="540000"/>
            <wp:effectExtent l="0" t="0" r="0" b="0"/>
            <wp:wrapTight wrapText="bothSides">
              <wp:wrapPolygon edited="0">
                <wp:start x="0" y="0"/>
                <wp:lineTo x="0" y="20584"/>
                <wp:lineTo x="20788" y="20584"/>
                <wp:lineTo x="20788" y="0"/>
                <wp:lineTo x="0" y="0"/>
              </wp:wrapPolygon>
            </wp:wrapTight>
            <wp:docPr id="474" name="Рисунок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78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t>Да – 1 бал.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t>Нет – 0 бал.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B228DC" w:rsidRPr="00F72C1B" w:rsidRDefault="00B228DC" w:rsidP="00B228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72C1B">
        <w:rPr>
          <w:rFonts w:ascii="Times New Roman" w:hAnsi="Times New Roman" w:cs="Times New Roman"/>
          <w:b/>
          <w:sz w:val="24"/>
          <w:szCs w:val="24"/>
        </w:rPr>
        <w:t>Меню «Сахарный диабет»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1" locked="0" layoutInCell="1" allowOverlap="1" wp14:anchorId="7D25DEA1" wp14:editId="30DAC3C5">
            <wp:simplePos x="0" y="0"/>
            <wp:positionH relativeFrom="column">
              <wp:posOffset>38100</wp:posOffset>
            </wp:positionH>
            <wp:positionV relativeFrom="paragraph">
              <wp:posOffset>35560</wp:posOffset>
            </wp:positionV>
            <wp:extent cx="574178" cy="540000"/>
            <wp:effectExtent l="0" t="0" r="0" b="0"/>
            <wp:wrapTight wrapText="bothSides">
              <wp:wrapPolygon edited="0">
                <wp:start x="0" y="0"/>
                <wp:lineTo x="0" y="20584"/>
                <wp:lineTo x="20788" y="20584"/>
                <wp:lineTo x="20788" y="0"/>
                <wp:lineTo x="0" y="0"/>
              </wp:wrapPolygon>
            </wp:wrapTight>
            <wp:docPr id="475" name="Рисунок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78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t>Да – 1 бал.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t>Нет – 0 бал.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B228DC" w:rsidRPr="00F72C1B" w:rsidRDefault="00B228DC" w:rsidP="00B228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72C1B">
        <w:rPr>
          <w:rFonts w:ascii="Times New Roman" w:hAnsi="Times New Roman" w:cs="Times New Roman"/>
          <w:b/>
          <w:sz w:val="24"/>
          <w:szCs w:val="24"/>
        </w:rPr>
        <w:t>Меню «Инфаркт миокарда»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2336" behindDoc="1" locked="0" layoutInCell="1" allowOverlap="1" wp14:anchorId="53952B04" wp14:editId="1CA0191D">
            <wp:simplePos x="0" y="0"/>
            <wp:positionH relativeFrom="column">
              <wp:posOffset>38100</wp:posOffset>
            </wp:positionH>
            <wp:positionV relativeFrom="paragraph">
              <wp:posOffset>35560</wp:posOffset>
            </wp:positionV>
            <wp:extent cx="574178" cy="540000"/>
            <wp:effectExtent l="0" t="0" r="0" b="0"/>
            <wp:wrapTight wrapText="bothSides">
              <wp:wrapPolygon edited="0">
                <wp:start x="0" y="0"/>
                <wp:lineTo x="0" y="20584"/>
                <wp:lineTo x="20788" y="20584"/>
                <wp:lineTo x="20788" y="0"/>
                <wp:lineTo x="0" y="0"/>
              </wp:wrapPolygon>
            </wp:wrapTight>
            <wp:docPr id="477" name="Рисунок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78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t>Да – 1 бал.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t>Нет – 0 бал.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B228DC" w:rsidRPr="00F72C1B" w:rsidRDefault="00B228DC" w:rsidP="00B228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72C1B">
        <w:rPr>
          <w:rFonts w:ascii="Times New Roman" w:hAnsi="Times New Roman" w:cs="Times New Roman"/>
          <w:b/>
          <w:sz w:val="24"/>
          <w:szCs w:val="24"/>
        </w:rPr>
        <w:t>Меню «Другие сердечно-сосудистые заболевания (ИБС, сердечная недостаточность, желудочковая аритмия). За исключением ИМ и фибрилляция предсердий»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3360" behindDoc="1" locked="0" layoutInCell="1" allowOverlap="1" wp14:anchorId="44F02D26" wp14:editId="4D00ECCF">
            <wp:simplePos x="0" y="0"/>
            <wp:positionH relativeFrom="column">
              <wp:posOffset>38100</wp:posOffset>
            </wp:positionH>
            <wp:positionV relativeFrom="paragraph">
              <wp:posOffset>35560</wp:posOffset>
            </wp:positionV>
            <wp:extent cx="574178" cy="540000"/>
            <wp:effectExtent l="0" t="0" r="0" b="0"/>
            <wp:wrapTight wrapText="bothSides">
              <wp:wrapPolygon edited="0">
                <wp:start x="0" y="0"/>
                <wp:lineTo x="0" y="20584"/>
                <wp:lineTo x="20788" y="20584"/>
                <wp:lineTo x="20788" y="0"/>
                <wp:lineTo x="0" y="0"/>
              </wp:wrapPolygon>
            </wp:wrapTight>
            <wp:docPr id="478" name="Рисунок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78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t>Да – 1 бал.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t>Нет – 0 бал.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B228DC" w:rsidRPr="00F72C1B" w:rsidRDefault="00B228DC" w:rsidP="00B228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72C1B">
        <w:rPr>
          <w:rFonts w:ascii="Times New Roman" w:hAnsi="Times New Roman" w:cs="Times New Roman"/>
          <w:b/>
          <w:sz w:val="24"/>
          <w:szCs w:val="24"/>
        </w:rPr>
        <w:t>Меню «Заболевания периферических артерий»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4384" behindDoc="1" locked="0" layoutInCell="1" allowOverlap="1" wp14:anchorId="3789B184" wp14:editId="386BF982">
            <wp:simplePos x="0" y="0"/>
            <wp:positionH relativeFrom="column">
              <wp:posOffset>38100</wp:posOffset>
            </wp:positionH>
            <wp:positionV relativeFrom="paragraph">
              <wp:posOffset>35560</wp:posOffset>
            </wp:positionV>
            <wp:extent cx="574178" cy="540000"/>
            <wp:effectExtent l="0" t="0" r="0" b="0"/>
            <wp:wrapTight wrapText="bothSides">
              <wp:wrapPolygon edited="0">
                <wp:start x="0" y="0"/>
                <wp:lineTo x="0" y="20584"/>
                <wp:lineTo x="20788" y="20584"/>
                <wp:lineTo x="20788" y="0"/>
                <wp:lineTo x="0" y="0"/>
              </wp:wrapPolygon>
            </wp:wrapTight>
            <wp:docPr id="479" name="Рисунок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78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t>Да – 1 бал.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t>Нет – 0 бал.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B228DC" w:rsidRPr="00F72C1B" w:rsidRDefault="00B228DC" w:rsidP="00B228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72C1B">
        <w:rPr>
          <w:rFonts w:ascii="Times New Roman" w:hAnsi="Times New Roman" w:cs="Times New Roman"/>
          <w:b/>
          <w:sz w:val="24"/>
          <w:szCs w:val="24"/>
        </w:rPr>
        <w:t>Меню «Курение»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5408" behindDoc="1" locked="0" layoutInCell="1" allowOverlap="1" wp14:anchorId="214FC0ED" wp14:editId="0BA90FA1">
            <wp:simplePos x="0" y="0"/>
            <wp:positionH relativeFrom="column">
              <wp:posOffset>38100</wp:posOffset>
            </wp:positionH>
            <wp:positionV relativeFrom="paragraph">
              <wp:posOffset>35560</wp:posOffset>
            </wp:positionV>
            <wp:extent cx="574178" cy="540000"/>
            <wp:effectExtent l="0" t="0" r="0" b="0"/>
            <wp:wrapTight wrapText="bothSides">
              <wp:wrapPolygon edited="0">
                <wp:start x="0" y="0"/>
                <wp:lineTo x="0" y="20584"/>
                <wp:lineTo x="20788" y="20584"/>
                <wp:lineTo x="20788" y="0"/>
                <wp:lineTo x="0" y="0"/>
              </wp:wrapPolygon>
            </wp:wrapTight>
            <wp:docPr id="480" name="Рисунок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78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t>Да – 1 бал.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t>Нет – 0 бал.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B228DC" w:rsidRPr="00F72C1B" w:rsidRDefault="00B228DC" w:rsidP="00B228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72C1B">
        <w:rPr>
          <w:rFonts w:ascii="Times New Roman" w:hAnsi="Times New Roman" w:cs="Times New Roman"/>
          <w:b/>
          <w:sz w:val="24"/>
          <w:szCs w:val="24"/>
        </w:rPr>
        <w:t>Меню «ТИА или инсульт в дополнение к оцениваемому событию»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6432" behindDoc="1" locked="0" layoutInCell="1" allowOverlap="1" wp14:anchorId="6FC94A8F" wp14:editId="183E3D33">
            <wp:simplePos x="0" y="0"/>
            <wp:positionH relativeFrom="column">
              <wp:posOffset>38100</wp:posOffset>
            </wp:positionH>
            <wp:positionV relativeFrom="paragraph">
              <wp:posOffset>35560</wp:posOffset>
            </wp:positionV>
            <wp:extent cx="574178" cy="540000"/>
            <wp:effectExtent l="0" t="0" r="0" b="0"/>
            <wp:wrapTight wrapText="bothSides">
              <wp:wrapPolygon edited="0">
                <wp:start x="0" y="0"/>
                <wp:lineTo x="0" y="20584"/>
                <wp:lineTo x="20788" y="20584"/>
                <wp:lineTo x="20788" y="0"/>
                <wp:lineTo x="0" y="0"/>
              </wp:wrapPolygon>
            </wp:wrapTight>
            <wp:docPr id="481" name="Рисунок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78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t>Да – 1 бал.</w:t>
      </w:r>
    </w:p>
    <w:p w:rsidR="00B228DC" w:rsidRPr="00F72C1B" w:rsidRDefault="00B228DC" w:rsidP="00B228DC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72C1B">
        <w:rPr>
          <w:rFonts w:ascii="Times New Roman" w:hAnsi="Times New Roman" w:cs="Times New Roman"/>
          <w:noProof/>
          <w:sz w:val="24"/>
          <w:szCs w:val="24"/>
          <w:lang w:eastAsia="ru-RU"/>
        </w:rPr>
        <w:t>Нет – 0 бал.</w:t>
      </w:r>
    </w:p>
    <w:p w:rsidR="00B228DC" w:rsidRPr="00F72C1B" w:rsidRDefault="00B228DC" w:rsidP="00B228DC">
      <w:pPr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</w:p>
    <w:p w:rsidR="00B228DC" w:rsidRPr="00F72C1B" w:rsidRDefault="00B228DC" w:rsidP="00B228DC">
      <w:pPr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</w:p>
    <w:p w:rsidR="00B228DC" w:rsidRPr="00F72C1B" w:rsidRDefault="00B228DC" w:rsidP="00B228DC">
      <w:pPr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  <w:r>
        <w:rPr>
          <w:rFonts w:ascii="Times New Roman" w:eastAsia="Calibri" w:hAnsi="Times New Roman" w:cs="Times New Roman"/>
          <w:b/>
          <w:sz w:val="24"/>
        </w:rPr>
        <w:t>Толкование</w:t>
      </w:r>
      <w:r w:rsidRPr="00F72C1B">
        <w:rPr>
          <w:rFonts w:ascii="Times New Roman" w:eastAsia="Calibri" w:hAnsi="Times New Roman" w:cs="Times New Roman"/>
          <w:b/>
          <w:sz w:val="24"/>
        </w:rPr>
        <w:t>:</w:t>
      </w:r>
    </w:p>
    <w:p w:rsidR="00B228DC" w:rsidRPr="00F72C1B" w:rsidRDefault="00B228DC" w:rsidP="00B228DC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b/>
          <w:sz w:val="24"/>
        </w:rPr>
        <w:t>Менее 3 баллов</w:t>
      </w:r>
      <w:r w:rsidRPr="00F72C1B">
        <w:rPr>
          <w:rFonts w:ascii="Times New Roman" w:eastAsia="Calibri" w:hAnsi="Times New Roman" w:cs="Times New Roman"/>
          <w:sz w:val="24"/>
        </w:rPr>
        <w:t xml:space="preserve"> – низкий риска повторного инсульта (менее 4% в год)</w:t>
      </w:r>
    </w:p>
    <w:p w:rsidR="00B228DC" w:rsidRPr="00F72C1B" w:rsidRDefault="00B228DC" w:rsidP="00B228DC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b/>
          <w:sz w:val="24"/>
        </w:rPr>
        <w:t>От 3 до 6 баллов</w:t>
      </w:r>
      <w:r w:rsidRPr="00F72C1B">
        <w:rPr>
          <w:rFonts w:ascii="Times New Roman" w:eastAsia="Calibri" w:hAnsi="Times New Roman" w:cs="Times New Roman"/>
          <w:sz w:val="24"/>
        </w:rPr>
        <w:t xml:space="preserve"> – высокий риск повторного инсульта (более 4% в год)</w:t>
      </w:r>
    </w:p>
    <w:p w:rsidR="00B228DC" w:rsidRPr="00F72C1B" w:rsidRDefault="00B228DC" w:rsidP="00B228DC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b/>
          <w:sz w:val="24"/>
        </w:rPr>
        <w:t>Более 6 баллов</w:t>
      </w:r>
      <w:r w:rsidRPr="00F72C1B">
        <w:rPr>
          <w:rFonts w:ascii="Times New Roman" w:eastAsia="Calibri" w:hAnsi="Times New Roman" w:cs="Times New Roman"/>
          <w:sz w:val="24"/>
        </w:rPr>
        <w:t xml:space="preserve"> – очень высокий риск повторного инсульта.</w:t>
      </w:r>
    </w:p>
    <w:p w:rsidR="00B228DC" w:rsidRDefault="00B228DC" w:rsidP="00B228DC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sz w:val="24"/>
        </w:rPr>
      </w:pPr>
    </w:p>
    <w:p w:rsidR="00B228DC" w:rsidRPr="00F72C1B" w:rsidRDefault="00B228DC" w:rsidP="00B228DC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sz w:val="24"/>
        </w:rPr>
      </w:pPr>
    </w:p>
    <w:p w:rsidR="00B228DC" w:rsidRPr="00852041" w:rsidRDefault="00B228DC" w:rsidP="00B228DC">
      <w:pPr>
        <w:shd w:val="clear" w:color="auto" w:fill="FBE4D5" w:themeFill="accent2" w:themeFillTint="33"/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b/>
          <w:sz w:val="28"/>
        </w:rPr>
      </w:pPr>
      <w:r w:rsidRPr="00852041">
        <w:rPr>
          <w:rFonts w:ascii="Times New Roman" w:eastAsia="Calibri" w:hAnsi="Times New Roman" w:cs="Times New Roman"/>
          <w:b/>
          <w:sz w:val="28"/>
        </w:rPr>
        <w:t>Дополнительные элементы управления</w:t>
      </w:r>
    </w:p>
    <w:p w:rsidR="00B228DC" w:rsidRPr="00F72C1B" w:rsidRDefault="00B228DC" w:rsidP="00B228DC">
      <w:pPr>
        <w:autoSpaceDE w:val="0"/>
        <w:autoSpaceDN w:val="0"/>
        <w:adjustRightInd w:val="0"/>
        <w:spacing w:before="240" w:after="0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i/>
          <w:noProof/>
          <w:sz w:val="24"/>
          <w:szCs w:val="28"/>
          <w:lang w:eastAsia="ru-RU"/>
        </w:rPr>
        <w:drawing>
          <wp:inline distT="0" distB="0" distL="0" distR="0" wp14:anchorId="26BE7AB6" wp14:editId="74765FE5">
            <wp:extent cx="950400" cy="216000"/>
            <wp:effectExtent l="0" t="0" r="2540" b="0"/>
            <wp:docPr id="534" name="Рисунок 534" descr="C:\Users\katam\AppData\Local\Microsoft\Windows\INetCache\Content.Word\К списку шкал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atam\AppData\Local\Microsoft\Windows\INetCache\Content.Word\К списку шкал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400" cy="2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4"/>
        </w:rPr>
        <w:t>Кнопка «К списку шкал»</w:t>
      </w:r>
      <w:r w:rsidRPr="00F72C1B">
        <w:rPr>
          <w:rFonts w:ascii="Times New Roman" w:eastAsia="Calibri" w:hAnsi="Times New Roman" w:cs="Times New Roman"/>
          <w:sz w:val="24"/>
        </w:rPr>
        <w:t xml:space="preserve"> - при нажатии осуществляет возврат к списку шкал. </w:t>
      </w:r>
    </w:p>
    <w:p w:rsidR="00B228DC" w:rsidRPr="00F72C1B" w:rsidRDefault="00B228DC" w:rsidP="00B228DC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color w:val="0070C0"/>
          <w:sz w:val="24"/>
          <w:szCs w:val="28"/>
        </w:rPr>
      </w:pPr>
    </w:p>
    <w:p w:rsidR="00B228DC" w:rsidRPr="00F72C1B" w:rsidRDefault="00B228DC" w:rsidP="00B228DC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C49D4D7" wp14:editId="377737AA">
            <wp:extent cx="977900" cy="215900"/>
            <wp:effectExtent l="0" t="0" r="0" b="0"/>
            <wp:docPr id="535" name="Рисунок 535" descr="C:\Users\katam\AppData\Local\Microsoft\Windows\INetCache\Content.Word\Подвести ито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tam\AppData\Local\Microsoft\Windows\INetCache\Content.Word\Подвести итог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4"/>
        </w:rPr>
        <w:t>Кнопка «Подвести итог»</w:t>
      </w:r>
      <w:r w:rsidRPr="00F72C1B">
        <w:rPr>
          <w:rFonts w:ascii="Times New Roman" w:eastAsia="Calibri" w:hAnsi="Times New Roman" w:cs="Times New Roman"/>
          <w:sz w:val="24"/>
        </w:rPr>
        <w:t>. При нажатии:</w:t>
      </w:r>
    </w:p>
    <w:p w:rsidR="00B228DC" w:rsidRPr="00F72C1B" w:rsidRDefault="00B228DC" w:rsidP="00B228DC">
      <w:pPr>
        <w:numPr>
          <w:ilvl w:val="0"/>
          <w:numId w:val="1"/>
        </w:numPr>
        <w:autoSpaceDE w:val="0"/>
        <w:autoSpaceDN w:val="0"/>
        <w:adjustRightInd w:val="0"/>
        <w:spacing w:after="0"/>
        <w:ind w:left="426" w:hanging="284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sz w:val="24"/>
        </w:rPr>
        <w:t>В строке «Сумма баллов» выводится сумма баллов за все выбранные пункты.</w:t>
      </w:r>
    </w:p>
    <w:p w:rsidR="00B228DC" w:rsidRPr="00F72C1B" w:rsidRDefault="00B228DC" w:rsidP="00B228DC">
      <w:pPr>
        <w:numPr>
          <w:ilvl w:val="0"/>
          <w:numId w:val="1"/>
        </w:numPr>
        <w:autoSpaceDE w:val="0"/>
        <w:autoSpaceDN w:val="0"/>
        <w:adjustRightInd w:val="0"/>
        <w:spacing w:after="0"/>
        <w:ind w:left="426" w:hanging="284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sz w:val="24"/>
        </w:rPr>
        <w:t xml:space="preserve">В строке «Вывод» выводится </w:t>
      </w:r>
      <w:r>
        <w:rPr>
          <w:rFonts w:ascii="Times New Roman" w:eastAsia="Calibri" w:hAnsi="Times New Roman" w:cs="Times New Roman"/>
          <w:sz w:val="24"/>
        </w:rPr>
        <w:t>толкование</w:t>
      </w:r>
      <w:r w:rsidRPr="00F72C1B">
        <w:rPr>
          <w:rFonts w:ascii="Times New Roman" w:eastAsia="Calibri" w:hAnsi="Times New Roman" w:cs="Times New Roman"/>
          <w:sz w:val="24"/>
        </w:rPr>
        <w:t xml:space="preserve"> полученной суммы баллов согласно описанию:</w:t>
      </w:r>
    </w:p>
    <w:p w:rsidR="00B228DC" w:rsidRPr="00F72C1B" w:rsidRDefault="00B228DC" w:rsidP="00B228DC">
      <w:pPr>
        <w:numPr>
          <w:ilvl w:val="0"/>
          <w:numId w:val="1"/>
        </w:numPr>
        <w:autoSpaceDE w:val="0"/>
        <w:autoSpaceDN w:val="0"/>
        <w:adjustRightInd w:val="0"/>
        <w:spacing w:after="0"/>
        <w:ind w:left="709" w:hanging="284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sz w:val="24"/>
        </w:rPr>
        <w:t>Менее 3 баллов – низкий риск повторного инсульта (менее 4% в год)</w:t>
      </w:r>
    </w:p>
    <w:p w:rsidR="00B228DC" w:rsidRPr="00F72C1B" w:rsidRDefault="00B228DC" w:rsidP="00B228DC">
      <w:pPr>
        <w:numPr>
          <w:ilvl w:val="0"/>
          <w:numId w:val="1"/>
        </w:numPr>
        <w:autoSpaceDE w:val="0"/>
        <w:autoSpaceDN w:val="0"/>
        <w:adjustRightInd w:val="0"/>
        <w:spacing w:after="0"/>
        <w:ind w:left="709" w:hanging="284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sz w:val="24"/>
        </w:rPr>
        <w:t>От 3 до 6 баллов – высокий риск повторного инсульта (более 4% в год)</w:t>
      </w:r>
    </w:p>
    <w:p w:rsidR="00B228DC" w:rsidRPr="00F72C1B" w:rsidRDefault="00B228DC" w:rsidP="00B228DC">
      <w:pPr>
        <w:numPr>
          <w:ilvl w:val="0"/>
          <w:numId w:val="1"/>
        </w:numPr>
        <w:autoSpaceDE w:val="0"/>
        <w:autoSpaceDN w:val="0"/>
        <w:adjustRightInd w:val="0"/>
        <w:spacing w:after="0"/>
        <w:ind w:left="709" w:hanging="284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sz w:val="24"/>
        </w:rPr>
        <w:lastRenderedPageBreak/>
        <w:t>Более 6 баллов – очень высокий риск повторного инсульта.</w:t>
      </w:r>
    </w:p>
    <w:p w:rsidR="00B228DC" w:rsidRPr="00F72C1B" w:rsidRDefault="00B228DC" w:rsidP="00B228DC">
      <w:pPr>
        <w:autoSpaceDE w:val="0"/>
        <w:autoSpaceDN w:val="0"/>
        <w:adjustRightInd w:val="0"/>
        <w:spacing w:after="0"/>
        <w:ind w:left="709"/>
        <w:jc w:val="both"/>
        <w:rPr>
          <w:rFonts w:ascii="Times New Roman" w:eastAsia="Calibri" w:hAnsi="Times New Roman" w:cs="Times New Roman"/>
          <w:sz w:val="24"/>
        </w:rPr>
      </w:pPr>
    </w:p>
    <w:p w:rsidR="00DB2E0F" w:rsidRPr="00B228DC" w:rsidRDefault="00B228DC" w:rsidP="00B228DC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0" t="0" r="0" b="0"/>
            <wp:docPr id="1" name="Рисунок 1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" descr="Плюс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4"/>
          <w:szCs w:val="24"/>
        </w:rPr>
        <w:t xml:space="preserve">Кнопка «+» - </w:t>
      </w:r>
      <w:r w:rsidRPr="00F72C1B">
        <w:rPr>
          <w:rFonts w:ascii="Times New Roman" w:eastAsia="Calibri" w:hAnsi="Times New Roman" w:cs="Times New Roman"/>
          <w:sz w:val="24"/>
          <w:szCs w:val="24"/>
        </w:rPr>
        <w:t>для добавления даты, названия шкалы и результата</w:t>
      </w:r>
      <w:r w:rsidRPr="00F72C1B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72C1B">
        <w:rPr>
          <w:rFonts w:ascii="Times New Roman" w:eastAsia="Calibri" w:hAnsi="Times New Roman" w:cs="Times New Roman"/>
          <w:sz w:val="24"/>
          <w:szCs w:val="24"/>
        </w:rPr>
        <w:t>из строки «Сумма баллов» и «Вывод» в раздел «Оценка индивидуального риска повторного сосудистого события» персональной программы индивидуализированной вторичной профилактики повторного сосудистого события пациента, в личный кабинет которого осуществлен вход.</w:t>
      </w:r>
      <w:r w:rsidRPr="00F72C1B">
        <w:rPr>
          <w:rFonts w:ascii="Times New Roman" w:eastAsia="Calibri" w:hAnsi="Times New Roman" w:cs="Times New Roman"/>
          <w:i/>
          <w:color w:val="0070C0"/>
          <w:sz w:val="24"/>
          <w:szCs w:val="24"/>
        </w:rPr>
        <w:t xml:space="preserve"> </w:t>
      </w:r>
      <w:r w:rsidRPr="00F72C1B">
        <w:rPr>
          <w:rFonts w:ascii="Times New Roman" w:eastAsia="Calibri" w:hAnsi="Times New Roman" w:cs="Times New Roman"/>
          <w:sz w:val="24"/>
          <w:szCs w:val="24"/>
        </w:rPr>
        <w:t xml:space="preserve">Перенесенные данные доступны для редактирования </w:t>
      </w:r>
      <w:r w:rsidRPr="00F72C1B">
        <w:rPr>
          <w:rFonts w:ascii="Times New Roman" w:hAnsi="Times New Roman" w:cs="Times New Roman"/>
          <w:sz w:val="24"/>
          <w:szCs w:val="24"/>
          <w:lang w:eastAsia="ru-RU"/>
        </w:rPr>
        <w:t>(добавления, удаления) путем установки курсора и ввода с клавиатуры.</w:t>
      </w:r>
      <w:bookmarkStart w:id="0" w:name="_GoBack"/>
      <w:bookmarkEnd w:id="0"/>
    </w:p>
    <w:sectPr w:rsidR="00DB2E0F" w:rsidRPr="00B228DC" w:rsidSect="00B228DC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6505C1"/>
    <w:multiLevelType w:val="hybridMultilevel"/>
    <w:tmpl w:val="BE3202D8"/>
    <w:lvl w:ilvl="0" w:tplc="550AB89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242"/>
    <w:rsid w:val="00485242"/>
    <w:rsid w:val="00B228DC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4864D1-5B79-4BBB-8BF3-8D0340DBE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28DC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28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2022-09-03T08:15:00Z</dcterms:created>
  <dcterms:modified xsi:type="dcterms:W3CDTF">2022-09-03T08:16:00Z</dcterms:modified>
</cp:coreProperties>
</file>