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658" w:rsidRPr="00A12658" w:rsidRDefault="00A12658" w:rsidP="00A12658">
      <w:pPr>
        <w:shd w:val="clear" w:color="auto" w:fill="F4B083" w:themeFill="accent2" w:themeFillTint="99"/>
        <w:spacing w:after="0"/>
        <w:jc w:val="center"/>
        <w:rPr>
          <w:rFonts w:ascii="Times New Roman" w:eastAsia="Calibri" w:hAnsi="Times New Roman" w:cs="Times New Roman"/>
          <w:b/>
          <w:sz w:val="32"/>
        </w:rPr>
      </w:pPr>
      <w:r w:rsidRPr="00A12658">
        <w:rPr>
          <w:rFonts w:ascii="Times New Roman" w:eastAsia="Calibri" w:hAnsi="Times New Roman" w:cs="Times New Roman"/>
          <w:b/>
          <w:sz w:val="32"/>
        </w:rPr>
        <w:t>ЛИЧНЫЙ КАБИНЕТ. КОРРЕКЦИЯ ФАКТОРОВ РИСКА</w:t>
      </w:r>
    </w:p>
    <w:p w:rsidR="00A12658" w:rsidRPr="00A12658" w:rsidRDefault="00A12658" w:rsidP="00A12658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b/>
          <w:sz w:val="28"/>
        </w:rPr>
        <w:t xml:space="preserve">СПИСОК ФАКТОРОВ РИСКА </w:t>
      </w:r>
    </w:p>
    <w:p w:rsidR="00A12658" w:rsidRPr="00A12658" w:rsidRDefault="00A12658" w:rsidP="00A12658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b/>
          <w:sz w:val="28"/>
        </w:rPr>
        <w:t>ПОВТОРНОГО СОСУДИСТОГО СОБЫТИЯ</w:t>
      </w:r>
    </w:p>
    <w:p w:rsidR="00A12658" w:rsidRPr="00A12658" w:rsidRDefault="00A12658" w:rsidP="00A12658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A12658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173B2C73" wp14:editId="5425009B">
            <wp:extent cx="5760000" cy="3239931"/>
            <wp:effectExtent l="190500" t="190500" r="184150" b="189230"/>
            <wp:docPr id="646" name="Рисунок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2658" w:rsidRPr="00A12658" w:rsidRDefault="00A12658" w:rsidP="00A12658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A12658">
        <w:rPr>
          <w:rFonts w:ascii="Times New Roman" w:eastAsia="Calibri" w:hAnsi="Times New Roman" w:cs="Times New Roman"/>
          <w:b/>
          <w:sz w:val="24"/>
        </w:rPr>
        <w:t>КОРРЕКЦИЯ ФАКТОРОВ РИСКА</w:t>
      </w:r>
    </w:p>
    <w:p w:rsidR="00A12658" w:rsidRPr="00A12658" w:rsidRDefault="00A12658" w:rsidP="00A12658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A12658">
        <w:rPr>
          <w:rFonts w:ascii="Times New Roman" w:eastAsia="Calibri" w:hAnsi="Times New Roman" w:cs="Times New Roman"/>
          <w:b/>
          <w:sz w:val="24"/>
        </w:rPr>
        <w:t>ПОВТОРНОГО СОСУДИСТОГО СОБЫТИЯ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</w:p>
    <w:p w:rsidR="00A12658" w:rsidRPr="00A12658" w:rsidRDefault="00A12658" w:rsidP="00A12658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A95296E" wp14:editId="376322C0">
            <wp:extent cx="406596" cy="360000"/>
            <wp:effectExtent l="0" t="0" r="0" b="2540"/>
            <wp:docPr id="132" name="Рисунок 132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  <w:sz w:val="24"/>
        </w:rPr>
        <w:t xml:space="preserve">  </w:t>
      </w:r>
      <w:r w:rsidRPr="00A12658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A12658">
        <w:rPr>
          <w:rFonts w:ascii="Times New Roman" w:eastAsia="Calibri" w:hAnsi="Times New Roman" w:cs="Times New Roman"/>
          <w:sz w:val="24"/>
        </w:rPr>
        <w:t xml:space="preserve"> </w:t>
      </w:r>
    </w:p>
    <w:p w:rsidR="00A12658" w:rsidRDefault="00A12658" w:rsidP="00A12658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138E5A8" wp14:editId="2ECF49EE">
            <wp:extent cx="406596" cy="360000"/>
            <wp:effectExtent l="0" t="0" r="0" b="2540"/>
            <wp:docPr id="133" name="Рисунок 133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A12658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A12658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A12658" w:rsidRPr="00A12658" w:rsidRDefault="00A12658" w:rsidP="00A12658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П</w:t>
      </w:r>
      <w:r w:rsidRPr="00A12658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A12658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A12658" w:rsidRDefault="00A12658" w:rsidP="00A12658">
      <w:pPr>
        <w:spacing w:after="0"/>
        <w:rPr>
          <w:rFonts w:ascii="Times New Roman" w:eastAsia="SimSun" w:hAnsi="Times New Roman" w:cs="Times New Roman"/>
          <w:bCs/>
          <w:color w:val="0070C0"/>
          <w:kern w:val="1"/>
          <w:sz w:val="24"/>
          <w:lang w:eastAsia="hi-IN" w:bidi="hi-IN"/>
        </w:rPr>
      </w:pPr>
    </w:p>
    <w:p w:rsidR="00A12658" w:rsidRPr="00A12658" w:rsidRDefault="00A12658" w:rsidP="00A12658">
      <w:pPr>
        <w:spacing w:after="0"/>
        <w:rPr>
          <w:rFonts w:ascii="Times New Roman" w:eastAsia="SimSun" w:hAnsi="Times New Roman" w:cs="Times New Roman"/>
          <w:bCs/>
          <w:color w:val="0070C0"/>
          <w:kern w:val="1"/>
          <w:sz w:val="24"/>
          <w:lang w:eastAsia="hi-IN" w:bidi="hi-IN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SimSun" w:hAnsi="Times New Roman" w:cs="Times New Roman"/>
          <w:b/>
          <w:bCs/>
          <w:noProof/>
          <w:kern w:val="1"/>
          <w:sz w:val="28"/>
          <w:lang w:eastAsia="ru-RU"/>
        </w:rPr>
        <w:drawing>
          <wp:inline distT="0" distB="0" distL="0" distR="0" wp14:anchorId="6153F884" wp14:editId="6D71BD9C">
            <wp:extent cx="209550" cy="209550"/>
            <wp:effectExtent l="0" t="0" r="0" b="0"/>
            <wp:docPr id="728" name="Рисунок 728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  Стратегия вмешательства в зависимости от категории риска</w:t>
      </w:r>
      <w:r w:rsidRPr="00A12658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5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color w:val="0070C0"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A12658">
        <w:rPr>
          <w:rFonts w:ascii="Times New Roman" w:eastAsia="Calibri" w:hAnsi="Times New Roman" w:cs="Times New Roman"/>
          <w:i/>
          <w:sz w:val="24"/>
          <w:szCs w:val="28"/>
        </w:rPr>
        <w:t xml:space="preserve">   Активность профилактических мероприятий должна быть тем больше, чем выше у человека исходный ССР.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A12658">
        <w:rPr>
          <w:rFonts w:ascii="Times New Roman" w:eastAsia="Calibri" w:hAnsi="Times New Roman" w:cs="Times New Roman"/>
          <w:i/>
          <w:sz w:val="24"/>
          <w:szCs w:val="28"/>
        </w:rPr>
        <w:t xml:space="preserve">    Лицам с низким и умеренным риском по Шкале SCORE (&lt;5%) следует предоставить рекомендации по изменению образа жизни, которые позволят им оставаться в той же категории риска (при исходно низком риске) или перейти в категорию низкого риска (для лиц с умеренным риском).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A12658">
        <w:rPr>
          <w:rFonts w:ascii="Times New Roman" w:eastAsia="Calibri" w:hAnsi="Times New Roman" w:cs="Times New Roman"/>
          <w:i/>
          <w:sz w:val="24"/>
          <w:szCs w:val="28"/>
        </w:rPr>
        <w:t xml:space="preserve">   Лицам с высоким риском по Шкале SCORE (≥5% и &lt;10%) должно проводиться интенсивное профилактическое консультирование по изменению образа жизни. При недостаточной эффективности поведенческих вмешательств у таких пациентов рекомендуется рассмотреть переход к медикаментозной коррекции ФР.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A12658">
        <w:rPr>
          <w:rFonts w:ascii="Times New Roman" w:eastAsia="Calibri" w:hAnsi="Times New Roman" w:cs="Times New Roman"/>
          <w:i/>
          <w:sz w:val="24"/>
          <w:szCs w:val="28"/>
        </w:rPr>
        <w:lastRenderedPageBreak/>
        <w:t xml:space="preserve">   Лицам с очень высоким риском по Шкале SCORE (≥10%), как правило, требуется медикаментозная коррекция ФР.</w:t>
      </w:r>
      <w:r w:rsidRPr="00A12658">
        <w:rPr>
          <w:rFonts w:ascii="Times New Roman" w:eastAsia="Calibri" w:hAnsi="Times New Roman" w:cs="Times New Roman"/>
          <w:i/>
          <w:sz w:val="24"/>
          <w:szCs w:val="28"/>
          <w:vertAlign w:val="superscript"/>
        </w:rPr>
        <w:t xml:space="preserve">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Обратите внимание, что у пациентов из ряда клинических групп Шкала SCORE не используется, поскольку считается, что такие пациенты автоматически относятся к категории высокого и очень высокого ССР и нуждаются в активных мероприятиях по снижению уровней всех ФР (табл. 1).</w:t>
      </w:r>
    </w:p>
    <w:p w:rsidR="00A12658" w:rsidRPr="00A12658" w:rsidRDefault="00A12658" w:rsidP="00A12658">
      <w:pPr>
        <w:spacing w:after="0"/>
        <w:jc w:val="center"/>
        <w:rPr>
          <w:rFonts w:ascii="Times New Roman" w:eastAsia="Calibri" w:hAnsi="Times New Roman" w:cs="Times New Roman"/>
          <w:b/>
          <w:i/>
          <w:sz w:val="24"/>
          <w:vertAlign w:val="superscript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Табл. 1  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Категории ССР</w:t>
      </w:r>
    </w:p>
    <w:tbl>
      <w:tblPr>
        <w:tblStyle w:val="3"/>
        <w:tblW w:w="9634" w:type="dxa"/>
        <w:tblLook w:val="04A0" w:firstRow="1" w:lastRow="0" w:firstColumn="1" w:lastColumn="0" w:noHBand="0" w:noVBand="1"/>
      </w:tblPr>
      <w:tblGrid>
        <w:gridCol w:w="2576"/>
        <w:gridCol w:w="7058"/>
      </w:tblGrid>
      <w:tr w:rsidR="00A12658" w:rsidRPr="00A12658" w:rsidTr="00FD7BC7">
        <w:tc>
          <w:tcPr>
            <w:tcW w:w="2576" w:type="dxa"/>
          </w:tcPr>
          <w:p w:rsidR="00A12658" w:rsidRPr="00A12658" w:rsidRDefault="00A12658" w:rsidP="00A12658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Очень высокий риск</w:t>
            </w:r>
          </w:p>
        </w:tc>
        <w:tc>
          <w:tcPr>
            <w:tcW w:w="7058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Помимо людей с ССР ≥10% по Шкале SCORE, к данной категории относятся также: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(1) пациенты с ССЗ атеросклеротического генеза, подтвержденными клинически или по данным визуализации артерий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Клинически подтвержденные ССЗ: перенесенный ИМ, ОКС, операции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реваскуляризации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 коронарных и других артерий, МИ, ТИА, аневризма аорты, ЗПА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ССЗ, однозначно подтвержденные визуализацией артерий: наличие значимых атеросклеротических бляшек по данным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коронароангиографии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 или дуплексного сканирования сонных артерий (некоторое увеличение толщины КИМ сонной артерии не считается однозначным подтверждением)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(2) пациенты с СД c поражением органов-мишеней (например, протеинурией) или значимым повышением уровней ФР (например,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выраженной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гиперхолестеринемией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 или выраженной гипертонией)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(3) пациенты с ХБП тяжелой степени (СКФ &lt;30 мл/мин/1,73 м2)</w:t>
            </w:r>
          </w:p>
        </w:tc>
      </w:tr>
      <w:tr w:rsidR="00A12658" w:rsidRPr="00A12658" w:rsidTr="00FD7BC7">
        <w:tc>
          <w:tcPr>
            <w:tcW w:w="2576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Высокий риск</w:t>
            </w:r>
          </w:p>
        </w:tc>
        <w:tc>
          <w:tcPr>
            <w:tcW w:w="7058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Помимо людей с ССР 5-9% по Шкале SCORE, к данной категории относятся также: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(1) люди с значительно повышенными уровнями отдельных ФР, в частности, уровнем ОХС &gt;8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ммоль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>/л (&gt;310 мг/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дл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), например, при семейной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гиперхолестеринемии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 xml:space="preserve"> или АД ≥180/110 мм </w:t>
            </w:r>
            <w:proofErr w:type="spellStart"/>
            <w:r w:rsidRPr="00A12658">
              <w:rPr>
                <w:rFonts w:ascii="Times New Roman" w:hAnsi="Times New Roman" w:cs="Times New Roman"/>
                <w:i/>
                <w:sz w:val="24"/>
              </w:rPr>
              <w:t>рт.ст</w:t>
            </w:r>
            <w:proofErr w:type="spellEnd"/>
            <w:r w:rsidRPr="00A12658">
              <w:rPr>
                <w:rFonts w:ascii="Times New Roman" w:hAnsi="Times New Roman" w:cs="Times New Roman"/>
                <w:i/>
                <w:sz w:val="24"/>
              </w:rPr>
              <w:t>.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(2) СД без ФР ССЗ и поражения органов-мишеней (кроме молодых людей с СД 1 типа без других ФР, которые могут иметь низкий или умеренный риск)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(3) пациенты с ХБП умеренной тяжести (СКФ 30-59 мл/мин/1,73 м2)</w:t>
            </w:r>
          </w:p>
        </w:tc>
      </w:tr>
      <w:tr w:rsidR="00A12658" w:rsidRPr="00A12658" w:rsidTr="00FD7BC7">
        <w:tc>
          <w:tcPr>
            <w:tcW w:w="2576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Умеренный риск</w:t>
            </w:r>
          </w:p>
        </w:tc>
        <w:tc>
          <w:tcPr>
            <w:tcW w:w="7058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1-4% по Шкале SCORE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К этой категории принадлежит значительная часть населения среднего возраста</w:t>
            </w:r>
          </w:p>
        </w:tc>
      </w:tr>
      <w:tr w:rsidR="00A12658" w:rsidRPr="00A12658" w:rsidTr="00FD7BC7">
        <w:tc>
          <w:tcPr>
            <w:tcW w:w="2576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Низкий риск</w:t>
            </w:r>
          </w:p>
        </w:tc>
        <w:tc>
          <w:tcPr>
            <w:tcW w:w="7058" w:type="dxa"/>
          </w:tcPr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&lt;1% по Шкале SCORE</w:t>
            </w:r>
          </w:p>
          <w:p w:rsidR="00A12658" w:rsidRPr="00A12658" w:rsidRDefault="00A12658" w:rsidP="00A12658">
            <w:pPr>
              <w:jc w:val="both"/>
              <w:rPr>
                <w:rFonts w:ascii="Times New Roman" w:hAnsi="Times New Roman" w:cs="Times New Roman"/>
                <w:i/>
                <w:sz w:val="24"/>
              </w:rPr>
            </w:pPr>
            <w:r w:rsidRPr="00A12658">
              <w:rPr>
                <w:rFonts w:ascii="Times New Roman" w:hAnsi="Times New Roman" w:cs="Times New Roman"/>
                <w:i/>
                <w:sz w:val="24"/>
              </w:rPr>
              <w:t>К данной категории относятся в основном молодые люди</w:t>
            </w:r>
          </w:p>
        </w:tc>
      </w:tr>
    </w:tbl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b/>
          <w:bCs/>
          <w:i/>
          <w:sz w:val="24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b/>
          <w:bCs/>
          <w:i/>
          <w:sz w:val="24"/>
        </w:rPr>
        <w:t xml:space="preserve">Сокращения: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АД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артериальное давление,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ЗПА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заболевания периферических артерий,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ИБС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ишемическая болезнь сердца,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ИМ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инфаркт миокарда,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КИМ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комплекс интима-медиа,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МИ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мозговой инсульт,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ОКС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острый коронарный синдром,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ОХС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общий холестерин,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СД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сахарный диабет</w:t>
      </w:r>
      <w:r w:rsidRPr="00A12658">
        <w:rPr>
          <w:rFonts w:ascii="Times New Roman" w:eastAsia="Calibri" w:hAnsi="Times New Roman" w:cs="Times New Roman"/>
          <w:b/>
          <w:bCs/>
          <w:i/>
          <w:sz w:val="24"/>
        </w:rPr>
        <w:t xml:space="preserve">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СКФ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скорость клубочковой фильтрации,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ССЗ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сердечно-сосудистые заболевания,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ССР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сердечно-сосудистый риск,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ТИА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транзиторная ишемическая атака,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ФА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физическая активность,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ФР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факторы риска,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ХБП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хроническая болезнь почек, </w:t>
      </w:r>
      <w:r w:rsidRPr="00A12658">
        <w:rPr>
          <w:rFonts w:ascii="Times New Roman" w:eastAsia="Calibri" w:hAnsi="Times New Roman" w:cs="Times New Roman"/>
          <w:b/>
          <w:i/>
          <w:sz w:val="24"/>
        </w:rPr>
        <w:t>SCORE</w:t>
      </w:r>
      <w:r w:rsidRPr="00A12658">
        <w:rPr>
          <w:rFonts w:ascii="Times New Roman" w:eastAsia="Calibri" w:hAnsi="Times New Roman" w:cs="Times New Roman"/>
          <w:i/>
          <w:sz w:val="24"/>
        </w:rPr>
        <w:t xml:space="preserve"> —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Systematic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Cоronary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Risk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Evaluation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</w:t>
      </w:r>
    </w:p>
    <w:p w:rsidR="00A12658" w:rsidRPr="00A12658" w:rsidRDefault="00A12658" w:rsidP="00A12658">
      <w:pPr>
        <w:spacing w:after="0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A12658" w:rsidRPr="00A12658" w:rsidRDefault="00A12658" w:rsidP="00A12658">
      <w:pPr>
        <w:spacing w:after="0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</w:pPr>
      <w:r w:rsidRPr="00A1265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7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</w:t>
      </w:r>
      <w:r w:rsidRPr="00A12658">
        <w:rPr>
          <w:rFonts w:ascii="Times New Roman" w:eastAsia="SimSun" w:hAnsi="Times New Roman" w:cs="Times New Roman"/>
          <w:b/>
          <w:bCs/>
          <w:kern w:val="1"/>
          <w:sz w:val="28"/>
          <w:u w:val="single"/>
          <w:lang w:eastAsia="hi-IN" w:bidi="hi-IN"/>
        </w:rPr>
        <w:t>Отказ от курения</w:t>
      </w:r>
      <w:r w:rsidRPr="00A12658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 xml:space="preserve">1;6 </w:t>
      </w:r>
      <w:r w:rsidRPr="00A12658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- при клике по </w:t>
      </w:r>
      <w:r w:rsidRPr="00A12658">
        <w:rPr>
          <w:rFonts w:ascii="Times New Roman" w:eastAsia="SimSun" w:hAnsi="Times New Roman" w:cs="Times New Roman"/>
          <w:bCs/>
          <w:kern w:val="1"/>
          <w:sz w:val="24"/>
          <w:u w:val="single"/>
          <w:lang w:eastAsia="hi-IN" w:bidi="hi-IN"/>
        </w:rPr>
        <w:t>ссылке</w:t>
      </w:r>
      <w:r w:rsidRPr="00A12658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 с названием фактора риска, осуществляется переход на страницу с данным фактором риска </w:t>
      </w:r>
      <w:r w:rsidRPr="00A12658">
        <w:rPr>
          <w:rFonts w:ascii="Times New Roman" w:eastAsia="Calibri" w:hAnsi="Times New Roman" w:cs="Times New Roman"/>
          <w:sz w:val="24"/>
        </w:rPr>
        <w:t>(везде далее - аналогично)</w:t>
      </w:r>
      <w:r w:rsidRPr="00A12658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. </w:t>
      </w:r>
    </w:p>
    <w:p w:rsidR="00A12658" w:rsidRPr="00A12658" w:rsidRDefault="00A12658" w:rsidP="00A12658">
      <w:pPr>
        <w:spacing w:after="0"/>
        <w:jc w:val="both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A12658">
        <w:rPr>
          <w:rFonts w:ascii="Times New Roman" w:eastAsia="Calibri" w:hAnsi="Times New Roman" w:cs="Times New Roman"/>
          <w:i/>
          <w:sz w:val="24"/>
        </w:rPr>
        <w:t>Рекомендации: рекомендуется отказ от курения (Класс III, уровень С)</w:t>
      </w:r>
      <w:r w:rsidRPr="00A12658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F840BD3" wp14:editId="47C664C2">
            <wp:extent cx="209550" cy="209550"/>
            <wp:effectExtent l="0" t="0" r="0" b="0"/>
            <wp:docPr id="726" name="Рисунок 726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 </w:t>
      </w:r>
      <w:r w:rsidRPr="00A12658">
        <w:rPr>
          <w:rFonts w:ascii="Times New Roman" w:eastAsia="Calibri" w:hAnsi="Times New Roman" w:cs="Times New Roman"/>
          <w:b/>
          <w:sz w:val="28"/>
          <w:u w:val="single"/>
        </w:rPr>
        <w:t>Отказ от злоупотребления алкоголем</w:t>
      </w:r>
      <w:r w:rsidRPr="00A12658">
        <w:rPr>
          <w:rFonts w:ascii="Times New Roman" w:eastAsia="Calibri" w:hAnsi="Times New Roman" w:cs="Times New Roman"/>
          <w:b/>
          <w:sz w:val="28"/>
          <w:vertAlign w:val="superscript"/>
        </w:rPr>
        <w:t>1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A12658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A12658">
        <w:rPr>
          <w:rFonts w:ascii="Times New Roman" w:eastAsia="Calibri" w:hAnsi="Times New Roman" w:cs="Times New Roman"/>
          <w:i/>
          <w:sz w:val="24"/>
          <w:vertAlign w:val="superscript"/>
        </w:rPr>
        <w:t>5</w:t>
      </w:r>
      <w:r w:rsidRPr="00A12658">
        <w:rPr>
          <w:rFonts w:ascii="Times New Roman" w:eastAsia="Calibri" w:hAnsi="Times New Roman" w:cs="Times New Roman"/>
          <w:i/>
          <w:sz w:val="24"/>
          <w:u w:val="single"/>
        </w:rPr>
        <w:t xml:space="preserve">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Результаты эпидемиологических исследований свидетельствуют о том, что наиболее низкие показатели сердечно-сосудистой смертности отмечаются при употреблении очень малых доз алкоголя (1-2 дозы/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.).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Считается безопасным потребление ≤2 стандартных доз алкоголя в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. для мужчин и ≤1 стандартной дозы в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 для женщин. Под одной стандартной дозой подразумевается 12 г (18 мл) этанола, что приблизительно соответствует 330 мл пива (содержащего ≈5% этанола) или 150 мл вина (≈12% этанола), или 45 мл крепких напитков (≈40% этанола). Следует отметить, что имеется в виду не среднее потребление алкоголя за несколько дней, а именно максимальное безопасное разовое потребление за день.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Занятия ФА помогают отказаться от курения курильщикам, которые до этого вели малоподвижный образ жизни, а также способствует поддержанию МТ при отказе от курения.</w:t>
      </w:r>
      <w:r w:rsidRPr="00A12658">
        <w:rPr>
          <w:rFonts w:ascii="Times New Roman" w:eastAsia="Calibri" w:hAnsi="Times New Roman" w:cs="Times New Roman"/>
          <w:i/>
          <w:sz w:val="24"/>
          <w:u w:val="single"/>
        </w:rPr>
        <w:t xml:space="preserve"> 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b/>
          <w:sz w:val="28"/>
          <w:u w:val="single"/>
        </w:rPr>
      </w:pPr>
      <w:r w:rsidRPr="00A1265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21144EC7" wp14:editId="231EFC24">
            <wp:extent cx="209550" cy="209550"/>
            <wp:effectExtent l="0" t="0" r="0" b="0"/>
            <wp:docPr id="651" name="Рисунок 651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 </w:t>
      </w:r>
      <w:proofErr w:type="spellStart"/>
      <w:r w:rsidRPr="00A12658">
        <w:rPr>
          <w:rFonts w:ascii="Times New Roman" w:eastAsia="Calibri" w:hAnsi="Times New Roman" w:cs="Times New Roman"/>
          <w:b/>
          <w:sz w:val="28"/>
          <w:u w:val="single"/>
        </w:rPr>
        <w:t>Cоблюдение</w:t>
      </w:r>
      <w:proofErr w:type="spellEnd"/>
      <w:r w:rsidRPr="00A12658">
        <w:rPr>
          <w:rFonts w:ascii="Times New Roman" w:eastAsia="Calibri" w:hAnsi="Times New Roman" w:cs="Times New Roman"/>
          <w:b/>
          <w:sz w:val="28"/>
          <w:u w:val="single"/>
        </w:rPr>
        <w:t xml:space="preserve"> диеты с ограничением поваренной соли и ненасыщенных жиров, обогащенной богатыми клетчаткой фруктами и овощами</w:t>
      </w:r>
      <w:r w:rsidRPr="00A12658">
        <w:rPr>
          <w:rFonts w:ascii="Times New Roman" w:eastAsia="Calibri" w:hAnsi="Times New Roman" w:cs="Times New Roman"/>
          <w:b/>
          <w:sz w:val="28"/>
          <w:vertAlign w:val="superscript"/>
        </w:rPr>
        <w:t>1;5</w:t>
      </w:r>
    </w:p>
    <w:p w:rsid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76BBAE5E" wp14:editId="191D3C52">
            <wp:extent cx="209550" cy="209550"/>
            <wp:effectExtent l="0" t="0" r="0" b="0"/>
            <wp:docPr id="652" name="Рисунок 652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 </w:t>
      </w:r>
      <w:r w:rsidRPr="00A12658">
        <w:rPr>
          <w:rFonts w:ascii="Times New Roman" w:eastAsia="Calibri" w:hAnsi="Times New Roman" w:cs="Times New Roman"/>
          <w:b/>
          <w:sz w:val="28"/>
          <w:u w:val="single"/>
        </w:rPr>
        <w:t>Снижения веса</w:t>
      </w:r>
      <w:r w:rsidRPr="00A12658">
        <w:rPr>
          <w:rFonts w:ascii="Times New Roman" w:eastAsia="Calibri" w:hAnsi="Times New Roman" w:cs="Times New Roman"/>
          <w:b/>
          <w:sz w:val="28"/>
          <w:vertAlign w:val="superscript"/>
        </w:rPr>
        <w:t>1;5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A12658">
        <w:rPr>
          <w:rFonts w:ascii="Times New Roman" w:eastAsia="Calibri" w:hAnsi="Times New Roman" w:cs="Times New Roman"/>
          <w:i/>
          <w:sz w:val="24"/>
          <w:u w:val="single"/>
        </w:rPr>
        <w:t xml:space="preserve">Комментарий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• Избыточная МТ (масса тела) и ожирение повышают общую и сердечно-сосудистую смертность.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• Оптимальная МТ у лиц в возрасте до 60 лет соответствует ИМТ 20-25 кг/м2, при котором отмечаются наиболее низкие показатели общей смертности. Для лиц старше 65 лет оптимальны более высокие значения ИМТ, чем для лиц молодого и среднего возраста.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   • Коррекция избыточной МТ и поддержание оптимальной МТ оказывает благоприятный эффект на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кардиометаболические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 ФР и ССР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19FC61F" wp14:editId="39804CCF">
            <wp:extent cx="209550" cy="209550"/>
            <wp:effectExtent l="0" t="0" r="0" b="0"/>
            <wp:docPr id="653" name="Рисунок 653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 </w:t>
      </w:r>
      <w:r w:rsidRPr="00A12658">
        <w:rPr>
          <w:rFonts w:ascii="Times New Roman" w:eastAsia="Calibri" w:hAnsi="Times New Roman" w:cs="Times New Roman"/>
          <w:b/>
          <w:sz w:val="28"/>
          <w:u w:val="single"/>
        </w:rPr>
        <w:t>Физическая активность (ФА)</w:t>
      </w:r>
      <w:r w:rsidRPr="00A12658">
        <w:rPr>
          <w:rFonts w:ascii="Times New Roman" w:eastAsia="Calibri" w:hAnsi="Times New Roman" w:cs="Times New Roman"/>
          <w:b/>
          <w:sz w:val="28"/>
          <w:vertAlign w:val="superscript"/>
        </w:rPr>
        <w:t>5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A12658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Низкий уровень ФА является значимым ФР (факторы риска) ССЗ (сердечно-сосудистые заболевания) и их осложнений.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Регулярная ФА — один из основных компонентов кардиоваскулярной профилактики, обеспечивающий снижение общей смертности и смертности от ССЗ.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Лицам с низким уровнем ФА на начальном этапе следует рекомендовать аэробные физические нагрузки невысокой интенсивности (ходьба пешком, езда на велосипеде, работа по дому и на садовом участке, скандинавская ходьба, танцы, ходьба на лыжах, катание на коньках, гребля или плавание).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Здоровым лицам необходимо заниматься аэробной умеренной ФА не менее 150 мин/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 (30 мин/день, 5 дней/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.) или интенсивной ФА не менее 75 мин в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 (15 мин/день, 5 дней/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.) или их комбинацией [211, 212]. Для получения дополнительной пользы для здоровья рекомендуется постепенное увеличение аэробной умеренной ФА до 300 мин/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proofErr w:type="gramStart"/>
      <w:r w:rsidRPr="00A12658">
        <w:rPr>
          <w:rFonts w:ascii="Times New Roman" w:eastAsia="Calibri" w:hAnsi="Times New Roman" w:cs="Times New Roman"/>
          <w:i/>
          <w:sz w:val="24"/>
        </w:rPr>
        <w:t>.</w:t>
      </w:r>
      <w:proofErr w:type="gramEnd"/>
      <w:r w:rsidRPr="00A12658">
        <w:rPr>
          <w:rFonts w:ascii="Times New Roman" w:eastAsia="Calibri" w:hAnsi="Times New Roman" w:cs="Times New Roman"/>
          <w:i/>
          <w:sz w:val="24"/>
        </w:rPr>
        <w:t xml:space="preserve"> или интенсивной ФА до 150 мин/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 или их комбинация. Рекомендуемая частота занятий ФА — 4-5 раз/</w:t>
      </w:r>
      <w:proofErr w:type="spellStart"/>
      <w:proofErr w:type="gram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.,</w:t>
      </w:r>
      <w:proofErr w:type="gramEnd"/>
      <w:r w:rsidRPr="00A12658">
        <w:rPr>
          <w:rFonts w:ascii="Times New Roman" w:eastAsia="Calibri" w:hAnsi="Times New Roman" w:cs="Times New Roman"/>
          <w:i/>
          <w:sz w:val="24"/>
        </w:rPr>
        <w:t xml:space="preserve"> лучше ежедневно.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lastRenderedPageBreak/>
        <w:t>- Рекомендуется регулярно проводить оценку и консультирование пациентов в плане физических нагрузок, чтобы стимулировать ФА и в случае необходимости поддерживать увеличение ее объема с течением времени.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- ФА/аэробная физическая тренировка должна выполняться многократно, длительность каждого периода ≥10 мин и равномерно распределятся в течение недели, т. е. на 4-5 дней в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 (предпочтительно ежедневно).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Лицам с ФР ССЗ, в настоящее время ведущим сидячий образ жизни, но которые намерены заниматься ФА высокой интенсивности или спортом, должна быть проведена клиническая оценка, включая тест с физической нагрузкой.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При работе с пациентами пожилого возраста важно подчеркивать, что: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• ФА способствует увеличению независимости в ежедневных делах и развивает гибкость, снижает вероятность травм и падений.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• ФА замедляет процесс старения. С помощью ФА люди старшего возраста могут достигнуть уровня тренированности людей, которые моложе их на 15-20 лет.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• Начинать занятия надо с разминки. Когда пациенты начинают занятия ФА, 5-10 минутная разминка может составлять целое занятие.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• Надо постепенно увеличивать занятия до 30 мин в день. Если до этого пациенты вели малоподвижный образ жизни, этот период должен продолжаться минимум 3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нед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• Пользу от занятий ФА пожилые начинают получать, как только встают со своего кресла.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Пациенты с избыточной МТ и ожирением: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>• У лиц с избыточной МТ и ожирением рекомендуются более длительные нагрузки — 40-60-90 мин ФА в день.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A12658">
        <w:rPr>
          <w:rFonts w:ascii="Times New Roman" w:eastAsia="Calibri" w:hAnsi="Times New Roman" w:cs="Times New Roman"/>
          <w:i/>
          <w:sz w:val="24"/>
        </w:rPr>
        <w:t xml:space="preserve">• Предпочтительна ФА низкой и умеренной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интенсив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A12658">
        <w:rPr>
          <w:rFonts w:ascii="Times New Roman" w:eastAsia="Calibri" w:hAnsi="Times New Roman" w:cs="Times New Roman"/>
          <w:i/>
          <w:sz w:val="24"/>
        </w:rPr>
        <w:t>ности</w:t>
      </w:r>
      <w:proofErr w:type="spellEnd"/>
      <w:r w:rsidRPr="00A12658">
        <w:rPr>
          <w:rFonts w:ascii="Times New Roman" w:eastAsia="Calibri" w:hAnsi="Times New Roman" w:cs="Times New Roman"/>
          <w:i/>
          <w:sz w:val="24"/>
        </w:rPr>
        <w:t>: ходьба, езда на велосипеде, гребля, плавание и др.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</w:rPr>
      </w:pPr>
      <w:r w:rsidRPr="00A12658">
        <w:rPr>
          <w:rFonts w:ascii="Times New Roman" w:eastAsia="Calibri" w:hAnsi="Times New Roman" w:cs="Times New Roman"/>
          <w:i/>
          <w:sz w:val="24"/>
        </w:rPr>
        <w:t>- Занятия ФА помогают отказаться от курения курильщикам, которые до этого вели малоподвижный образ жизни, а также способствует поддержанию МТ при отказе от курения.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b/>
          <w:sz w:val="28"/>
          <w:szCs w:val="26"/>
        </w:rPr>
      </w:pPr>
      <w:r w:rsidRPr="00A12658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A0F67DC" wp14:editId="0C10216A">
            <wp:extent cx="207010" cy="207010"/>
            <wp:effectExtent l="0" t="0" r="2540" b="2540"/>
            <wp:docPr id="654" name="Рисунок 654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  <w:sz w:val="24"/>
        </w:rPr>
        <w:t xml:space="preserve"> </w:t>
      </w:r>
      <w:r w:rsidRPr="00A12658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A12658">
        <w:rPr>
          <w:rFonts w:ascii="Times New Roman" w:eastAsia="Calibri" w:hAnsi="Times New Roman" w:cs="Times New Roman"/>
          <w:b/>
          <w:color w:val="969696"/>
          <w:sz w:val="28"/>
          <w:szCs w:val="26"/>
        </w:rPr>
        <w:t>Дополнительный раздел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A12658" w:rsidRPr="00A12658" w:rsidTr="00FD7BC7">
        <w:tc>
          <w:tcPr>
            <w:tcW w:w="10177" w:type="dxa"/>
          </w:tcPr>
          <w:p w:rsidR="00A12658" w:rsidRPr="00A12658" w:rsidRDefault="00A12658" w:rsidP="00A12658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A12658">
              <w:rPr>
                <w:rFonts w:ascii="Times New Roman" w:hAnsi="Times New Roman" w:cs="Times New Roman"/>
                <w:color w:val="A6A6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A12658" w:rsidRPr="00A12658" w:rsidRDefault="00A12658" w:rsidP="00A12658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sz w:val="24"/>
        </w:rPr>
      </w:pP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Дополнительный раздел дает возможность изменить заголовок и создать дополнительный раздел на усмотрение специалиста. При нажатии на кнопку </w:t>
      </w:r>
      <w:r w:rsidRPr="00A12658">
        <w:rPr>
          <w:rFonts w:ascii="Times New Roman" w:eastAsia="Calibri" w:hAnsi="Times New Roman" w:cs="Times New Roman"/>
          <w:noProof/>
          <w:sz w:val="24"/>
          <w:lang w:eastAsia="ru-RU"/>
        </w:rPr>
        <w:t>«+»,</w:t>
      </w:r>
      <w:r w:rsidRPr="00A12658">
        <w:rPr>
          <w:rFonts w:ascii="Times New Roman" w:eastAsia="Calibri" w:hAnsi="Times New Roman" w:cs="Times New Roman"/>
          <w:sz w:val="24"/>
        </w:rPr>
        <w:t xml:space="preserve"> в раздел «Коррекция факторов риска повторного сосудистого события»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 добавляется: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Дата. Заголовок дополнительного раздела.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(с новой строки) Содержимое поля – шаблона дополнительного раздела.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</w:rPr>
      </w:pP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61DEA5B7" wp14:editId="35883EE3">
            <wp:extent cx="209550" cy="209550"/>
            <wp:effectExtent l="0" t="0" r="0" b="0"/>
            <wp:docPr id="657" name="Рисунок 657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658">
        <w:rPr>
          <w:rFonts w:ascii="Times New Roman" w:eastAsia="Calibri" w:hAnsi="Times New Roman" w:cs="Times New Roman"/>
        </w:rPr>
        <w:t xml:space="preserve">  </w:t>
      </w:r>
      <w:r w:rsidRPr="00A12658">
        <w:rPr>
          <w:rFonts w:ascii="Times New Roman" w:eastAsia="Calibri" w:hAnsi="Times New Roman" w:cs="Times New Roman"/>
          <w:b/>
          <w:sz w:val="28"/>
        </w:rPr>
        <w:t>Коммуникативные стратегии коррекции факторов риска</w:t>
      </w:r>
    </w:p>
    <w:p w:rsidR="00A12658" w:rsidRPr="00A12658" w:rsidRDefault="00A12658" w:rsidP="00A12658">
      <w:pPr>
        <w:spacing w:after="0"/>
        <w:rPr>
          <w:rFonts w:ascii="Times New Roman" w:eastAsia="Calibri" w:hAnsi="Times New Roman" w:cs="Times New Roman"/>
          <w:b/>
          <w:sz w:val="24"/>
        </w:rPr>
      </w:pPr>
      <w:r w:rsidRPr="00A12658">
        <w:rPr>
          <w:rFonts w:ascii="Times New Roman" w:eastAsia="Calibri" w:hAnsi="Times New Roman" w:cs="Times New Roman"/>
          <w:b/>
          <w:sz w:val="28"/>
        </w:rPr>
        <w:t xml:space="preserve">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b/>
          <w:sz w:val="28"/>
        </w:rPr>
      </w:pPr>
      <w:r w:rsidRPr="00A12658">
        <w:rPr>
          <w:rFonts w:ascii="Times New Roman" w:eastAsia="Calibri" w:hAnsi="Times New Roman" w:cs="Times New Roman"/>
          <w:b/>
          <w:sz w:val="28"/>
        </w:rPr>
        <w:t xml:space="preserve">        </w:t>
      </w:r>
      <w:bookmarkStart w:id="0" w:name="_GoBack"/>
      <w:bookmarkEnd w:id="0"/>
      <w:r w:rsidRPr="00A12658">
        <w:rPr>
          <w:rFonts w:ascii="Times New Roman" w:eastAsia="Calibri" w:hAnsi="Times New Roman" w:cs="Times New Roman"/>
          <w:b/>
          <w:sz w:val="28"/>
        </w:rPr>
        <w:t>Принципы профилактического консультирования</w:t>
      </w:r>
      <w:r w:rsidRPr="00A12658">
        <w:rPr>
          <w:rFonts w:ascii="Times New Roman" w:eastAsia="Calibri" w:hAnsi="Times New Roman" w:cs="Times New Roman"/>
          <w:b/>
          <w:sz w:val="28"/>
          <w:vertAlign w:val="superscript"/>
        </w:rPr>
        <w:t>5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1.1. Установить хороший контакт с пациентом и добиться согласия на сотрудничество.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Принятие решений врачом и пациентом в отношении методов лечения, коррекции ФР, изменений образа жизни должно быть совместным, желательно при этом вовлечение семьи и ближайшего окружения пациента.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lastRenderedPageBreak/>
        <w:t xml:space="preserve">   1.2. Выяснить мнение пациента о причинах его заболевания.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Оно может кардинально отличаться от мнения врача. Необходимо расспросить пациента о его отношении к болезни (внутренняя картина болезни), связанных с ней переживаниях и страхах, обстоятельствах повседневной жизни.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1.3. Выявить имеющиеся у пациента ФР, оценить ССР и, используя Шкалу SCORE, наглядно показать пациенту степень его ССР, а также возможности его снижения при достижении контроля каждого ФР.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1.4. Убедительно разъяснить пациенту связь того или иного ФР (и особенно их сочетания) с развитием ССЗ и их осложнений.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Если пациент не понимает связь между поведенческими ФР и своим заболеванием, добиться изменения образа жизни крайне трудно.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1.5. Выяснить мотивацию пациента к оздоровлению образа жизни.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Если мотивация недостаточная, целесообразна дополнительная индивидуальная беседа. Может быть полезным и групповое профилактическое консультирование.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1.6. Необходимо составить поэтапный план модификации образа жизни. 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Например, 1 шаг — отказ от курения (2 мес.), 2 шаг — снижение веса до надлежащего (6 мес.) и т. д. Поэтапная реализация плана облегчает достижение цели — оздоровления образа жизни в целом.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1.7. Если коррекция одного из ФР невозможна по каким-либо причинам, в том числе субъективным,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>например, пациенту не удается отказаться от курения, необходимо уделить большее внимание контролю других ФР.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1.8. Необходимо регулярно контролировать процесс модификации образа жизни пациента в ходе последующих визитов к врачу.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1.9. У пациентов с низкой степенью готовности к изменению образа жизни или неоднократными неудавшимися попытками контроля отдельных ФР (например, отказа от курения, контроля веса) целесообразно использовать </w:t>
      </w:r>
      <w:proofErr w:type="spellStart"/>
      <w:r w:rsidRPr="00A12658">
        <w:rPr>
          <w:rFonts w:ascii="Times New Roman" w:eastAsia="Calibri" w:hAnsi="Times New Roman" w:cs="Times New Roman"/>
          <w:sz w:val="24"/>
        </w:rPr>
        <w:t>мультидисциплинарный</w:t>
      </w:r>
      <w:proofErr w:type="spellEnd"/>
      <w:r w:rsidRPr="00A12658">
        <w:rPr>
          <w:rFonts w:ascii="Times New Roman" w:eastAsia="Calibri" w:hAnsi="Times New Roman" w:cs="Times New Roman"/>
          <w:sz w:val="24"/>
        </w:rPr>
        <w:t xml:space="preserve"> подход — привлекать к консультированию психологов, психотерапевтов, диетологов, наркологов и др.</w:t>
      </w:r>
    </w:p>
    <w:p w:rsidR="00A12658" w:rsidRPr="00A12658" w:rsidRDefault="00A12658" w:rsidP="00A1265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A12658">
        <w:rPr>
          <w:rFonts w:ascii="Times New Roman" w:eastAsia="Calibri" w:hAnsi="Times New Roman" w:cs="Times New Roman"/>
          <w:sz w:val="24"/>
        </w:rPr>
        <w:t xml:space="preserve">   1.10. Лицам с высоким ССР и пациентам с ССЗ рекомендуется проведение группового профилактического консультирования (например, в Школе здорового питания, Школе по отказу от курения, Школе для больных АГ, Школе для больных СД, Школе для больных ИБС и др.).</w:t>
      </w:r>
    </w:p>
    <w:p w:rsidR="00DB2E0F" w:rsidRPr="00A12658" w:rsidRDefault="00DB2E0F" w:rsidP="00A12658">
      <w:pPr>
        <w:rPr>
          <w:rFonts w:ascii="Times New Roman" w:hAnsi="Times New Roman" w:cs="Times New Roman"/>
        </w:rPr>
      </w:pPr>
    </w:p>
    <w:sectPr w:rsidR="00DB2E0F" w:rsidRPr="00A12658" w:rsidSect="00A12658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CDA"/>
    <w:rsid w:val="00144CDA"/>
    <w:rsid w:val="00A12658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20A36-E6DA-4749-BBEF-83E75497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658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A12658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12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1708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2022-09-03T09:03:00Z</dcterms:created>
  <dcterms:modified xsi:type="dcterms:W3CDTF">2022-09-03T09:05:00Z</dcterms:modified>
</cp:coreProperties>
</file>