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D04" w:rsidRPr="00F72C1B" w:rsidRDefault="00B95D04" w:rsidP="00B95D04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F72C1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СНИЖЕНИЯ ВЕСА </w:t>
      </w:r>
      <w:r w:rsidRPr="00F72C1B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>1;5</w:t>
      </w:r>
    </w:p>
    <w:p w:rsidR="00B95D04" w:rsidRPr="00F72C1B" w:rsidRDefault="00B95D04" w:rsidP="00B95D04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63DD926C" wp14:editId="4647201C">
            <wp:extent cx="5760000" cy="3239931"/>
            <wp:effectExtent l="190500" t="190500" r="184150" b="189230"/>
            <wp:docPr id="989" name="Рисунок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1A7BB13" wp14:editId="0AC086C5">
            <wp:extent cx="838200" cy="219075"/>
            <wp:effectExtent l="0" t="0" r="0" b="9525"/>
            <wp:docPr id="968" name="Рисунок 968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«Назад к списку»</w:t>
      </w:r>
      <w:r w:rsidRPr="00F72C1B">
        <w:rPr>
          <w:rFonts w:ascii="Times New Roman" w:eastAsia="Calibri" w:hAnsi="Times New Roman" w:cs="Times New Roman"/>
          <w:sz w:val="24"/>
        </w:rPr>
        <w:t xml:space="preserve"> - для возврата к списку факторов риска. </w:t>
      </w:r>
    </w:p>
    <w:p w:rsidR="00B95D04" w:rsidRPr="00F72C1B" w:rsidRDefault="00B95D04" w:rsidP="00B95D04">
      <w:pPr>
        <w:spacing w:after="0"/>
        <w:jc w:val="center"/>
        <w:rPr>
          <w:rFonts w:ascii="Times New Roman" w:eastAsia="Calibri" w:hAnsi="Times New Roman" w:cs="Times New Roman"/>
          <w:i/>
          <w:color w:val="0070C0"/>
        </w:rPr>
      </w:pPr>
    </w:p>
    <w:p w:rsidR="00B95D04" w:rsidRPr="00F72C1B" w:rsidRDefault="00B95D04" w:rsidP="00B95D04">
      <w:pPr>
        <w:jc w:val="center"/>
        <w:rPr>
          <w:rFonts w:ascii="Times New Roman" w:eastAsia="Calibri" w:hAnsi="Times New Roman" w:cs="Times New Roman"/>
          <w:b/>
          <w:sz w:val="28"/>
          <w:vertAlign w:val="superscript"/>
        </w:rPr>
      </w:pPr>
      <w:r w:rsidRPr="00F72C1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СНИЖЕНИЯ ВЕСА </w:t>
      </w:r>
      <w:r w:rsidRPr="00F72C1B">
        <w:rPr>
          <w:rFonts w:ascii="Times New Roman" w:eastAsia="Calibri" w:hAnsi="Times New Roman" w:cs="Times New Roman"/>
          <w:b/>
          <w:sz w:val="28"/>
          <w:vertAlign w:val="superscript"/>
        </w:rPr>
        <w:t>1;5</w:t>
      </w:r>
    </w:p>
    <w:p w:rsidR="00B95D04" w:rsidRPr="00F72C1B" w:rsidRDefault="00B95D04" w:rsidP="00B95D0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6FEF641" wp14:editId="4E39E86A">
            <wp:extent cx="406596" cy="360000"/>
            <wp:effectExtent l="0" t="0" r="0" b="2540"/>
            <wp:docPr id="578" name="Рисунок 578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 </w:t>
      </w:r>
      <w:r w:rsidRPr="00F72C1B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</w:p>
    <w:p w:rsidR="00B95D04" w:rsidRPr="00F72C1B" w:rsidRDefault="00B95D04" w:rsidP="00B95D0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95D04" w:rsidRPr="00F72C1B" w:rsidRDefault="00B95D04" w:rsidP="00B95D0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F72C1B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E960B51" wp14:editId="7D3CEFF9">
            <wp:extent cx="406596" cy="360000"/>
            <wp:effectExtent l="0" t="0" r="0" b="2540"/>
            <wp:docPr id="157" name="Рисунок 157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  </w:t>
      </w:r>
      <w:r w:rsidRPr="00F72C1B">
        <w:rPr>
          <w:rFonts w:ascii="Times New Roman" w:eastAsia="Calibri" w:hAnsi="Times New Roman" w:cs="Times New Roman"/>
          <w:i/>
          <w:sz w:val="24"/>
          <w:szCs w:val="24"/>
          <w:u w:val="single"/>
        </w:rPr>
        <w:t>Рекомендации</w:t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или </w:t>
      </w:r>
      <w:r w:rsidRPr="00F72C1B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B95D04" w:rsidRPr="00F72C1B" w:rsidRDefault="00B95D04" w:rsidP="00B95D0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2C1B">
        <w:rPr>
          <w:rFonts w:ascii="Times New Roman" w:eastAsia="Calibri" w:hAnsi="Times New Roman" w:cs="Times New Roman"/>
          <w:sz w:val="24"/>
          <w:szCs w:val="24"/>
        </w:rPr>
        <w:t>П</w:t>
      </w:r>
      <w:r w:rsidRPr="00F72C1B">
        <w:rPr>
          <w:rFonts w:ascii="Times New Roman" w:eastAsia="SimSun" w:hAnsi="Times New Roman" w:cs="Times New Roman"/>
          <w:bCs/>
          <w:kern w:val="1"/>
          <w:sz w:val="24"/>
          <w:szCs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(везде далее - аналогично).  </w:t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b/>
          <w:sz w:val="24"/>
        </w:rPr>
      </w:pP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 xml:space="preserve">   Избыточная МТ (масса тела) и ожирение повышают общую и сердечно-сосудистую смертность.</w:t>
      </w: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 xml:space="preserve">   Оптимальная МТ у лиц в возрасте до 60 лет соответствует ИМТ 20-25 кг/м2, при котором отмечаются наиболее низкие показатели общей смертности. Для лиц старше 65 лет оптимальны более высокие з</w:t>
      </w:r>
      <w:bookmarkStart w:id="0" w:name="_GoBack"/>
      <w:bookmarkEnd w:id="0"/>
      <w:r w:rsidRPr="00F72C1B">
        <w:rPr>
          <w:rFonts w:ascii="Times New Roman" w:eastAsia="Calibri" w:hAnsi="Times New Roman" w:cs="Times New Roman"/>
          <w:i/>
          <w:sz w:val="24"/>
        </w:rPr>
        <w:t>начения ИМТ, чем для лиц молодого и среднего возраста.</w:t>
      </w: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 xml:space="preserve">   Коррекция избыточной МТ и поддержание оптимальной МТ оказывает благоприятный эффект на </w:t>
      </w:r>
      <w:proofErr w:type="spellStart"/>
      <w:r w:rsidRPr="00F72C1B">
        <w:rPr>
          <w:rFonts w:ascii="Times New Roman" w:eastAsia="Calibri" w:hAnsi="Times New Roman" w:cs="Times New Roman"/>
          <w:i/>
          <w:sz w:val="24"/>
        </w:rPr>
        <w:t>кардиометаболические</w:t>
      </w:r>
      <w:proofErr w:type="spellEnd"/>
      <w:r w:rsidRPr="00F72C1B">
        <w:rPr>
          <w:rFonts w:ascii="Times New Roman" w:eastAsia="Calibri" w:hAnsi="Times New Roman" w:cs="Times New Roman"/>
          <w:i/>
          <w:sz w:val="24"/>
        </w:rPr>
        <w:t xml:space="preserve"> ФР и ССР</w:t>
      </w:r>
    </w:p>
    <w:p w:rsidR="00B95D04" w:rsidRPr="00F72C1B" w:rsidRDefault="00B95D04" w:rsidP="00B95D04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209550" cy="209550"/>
            <wp:effectExtent l="0" t="0" r="0" b="0"/>
            <wp:docPr id="1" name="Рисунок 1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3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   </w:t>
      </w:r>
      <w:r w:rsidRPr="00F72C1B">
        <w:rPr>
          <w:rFonts w:ascii="Times New Roman" w:eastAsia="Calibri" w:hAnsi="Times New Roman" w:cs="Times New Roman"/>
          <w:b/>
          <w:sz w:val="28"/>
        </w:rPr>
        <w:t>План ведения пациентов с ожирением</w:t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Этап 1.</w:t>
      </w:r>
      <w:r w:rsidRPr="00F72C1B">
        <w:rPr>
          <w:rFonts w:ascii="Times New Roman" w:eastAsia="Calibri" w:hAnsi="Times New Roman" w:cs="Times New Roman"/>
          <w:sz w:val="24"/>
        </w:rPr>
        <w:t xml:space="preserve"> Оценка реалистичности поставленных целей.</w:t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Этап 2.</w:t>
      </w:r>
      <w:r w:rsidRPr="00F72C1B">
        <w:rPr>
          <w:rFonts w:ascii="Times New Roman" w:eastAsia="Calibri" w:hAnsi="Times New Roman" w:cs="Times New Roman"/>
          <w:sz w:val="24"/>
        </w:rPr>
        <w:t xml:space="preserve"> Оценка пищевых привычек.</w:t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Этап 3.</w:t>
      </w:r>
      <w:r w:rsidRPr="00F72C1B">
        <w:rPr>
          <w:rFonts w:ascii="Times New Roman" w:eastAsia="Calibri" w:hAnsi="Times New Roman" w:cs="Times New Roman"/>
          <w:sz w:val="24"/>
        </w:rPr>
        <w:t xml:space="preserve"> Расчет энергетической ценности рациона питания.</w:t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Этап 4.</w:t>
      </w:r>
      <w:r w:rsidRPr="00F72C1B">
        <w:rPr>
          <w:rFonts w:ascii="Times New Roman" w:eastAsia="Calibri" w:hAnsi="Times New Roman" w:cs="Times New Roman"/>
          <w:sz w:val="24"/>
        </w:rPr>
        <w:t xml:space="preserve"> Построение рациона питания осуществляется по классическим принципам с обеспечением сбалансированности и полноценности.</w:t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lastRenderedPageBreak/>
        <w:t>Этап 5.</w:t>
      </w:r>
      <w:r w:rsidRPr="00F72C1B">
        <w:rPr>
          <w:rFonts w:ascii="Times New Roman" w:eastAsia="Calibri" w:hAnsi="Times New Roman" w:cs="Times New Roman"/>
          <w:sz w:val="24"/>
        </w:rPr>
        <w:t xml:space="preserve"> Всем пациентам с ожирением в стадии редукции МТ назначается ежедневный прием </w:t>
      </w:r>
      <w:proofErr w:type="spellStart"/>
      <w:r w:rsidRPr="00F72C1B">
        <w:rPr>
          <w:rFonts w:ascii="Times New Roman" w:eastAsia="Calibri" w:hAnsi="Times New Roman" w:cs="Times New Roman"/>
          <w:sz w:val="24"/>
        </w:rPr>
        <w:t>поливитаминно</w:t>
      </w:r>
      <w:proofErr w:type="spellEnd"/>
      <w:r w:rsidRPr="00F72C1B">
        <w:rPr>
          <w:rFonts w:ascii="Times New Roman" w:eastAsia="Calibri" w:hAnsi="Times New Roman" w:cs="Times New Roman"/>
          <w:sz w:val="24"/>
        </w:rPr>
        <w:t>-минерального комплекса в дозе, не превышающей суточную потребность. При выявлении дефицита или недостаточности витамина D, проводится медикаментозная коррекция</w:t>
      </w:r>
    </w:p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9264" behindDoc="0" locked="0" layoutInCell="1" allowOverlap="1" wp14:anchorId="25CF2396" wp14:editId="1694FC59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207010" cy="207010"/>
            <wp:effectExtent l="0" t="0" r="2540" b="2540"/>
            <wp:wrapNone/>
            <wp:docPr id="981" name="Рисунок 981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</w:p>
    <w:tbl>
      <w:tblPr>
        <w:tblStyle w:val="3"/>
        <w:tblW w:w="0" w:type="auto"/>
        <w:tblInd w:w="534" w:type="dxa"/>
        <w:tblLook w:val="04A0" w:firstRow="1" w:lastRow="0" w:firstColumn="1" w:lastColumn="0" w:noHBand="0" w:noVBand="1"/>
      </w:tblPr>
      <w:tblGrid>
        <w:gridCol w:w="9094"/>
      </w:tblGrid>
      <w:tr w:rsidR="00B95D04" w:rsidRPr="00F72C1B" w:rsidTr="00C70B9F">
        <w:tc>
          <w:tcPr>
            <w:tcW w:w="9922" w:type="dxa"/>
          </w:tcPr>
          <w:p w:rsidR="00B95D04" w:rsidRPr="00F72C1B" w:rsidRDefault="00B95D04" w:rsidP="00C70B9F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72C1B">
              <w:rPr>
                <w:rFonts w:ascii="Times New Roman" w:hAnsi="Times New Roman" w:cs="Times New Roman"/>
                <w:color w:val="A6A6A6"/>
                <w:sz w:val="24"/>
              </w:rPr>
              <w:t>Шаблон рекомендаций по снижению веса</w:t>
            </w:r>
          </w:p>
          <w:p w:rsidR="00B95D04" w:rsidRPr="00F72C1B" w:rsidRDefault="00B95D04" w:rsidP="00C70B9F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B95D04" w:rsidRPr="00F72C1B" w:rsidRDefault="00B95D04" w:rsidP="00B95D04">
      <w:pPr>
        <w:spacing w:after="0"/>
        <w:rPr>
          <w:rFonts w:ascii="Times New Roman" w:eastAsia="Calibri" w:hAnsi="Times New Roman" w:cs="Times New Roman"/>
          <w:sz w:val="24"/>
        </w:rPr>
      </w:pP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2C1B">
        <w:rPr>
          <w:rFonts w:ascii="Times New Roman" w:eastAsia="Calibri" w:hAnsi="Times New Roman" w:cs="Times New Roman"/>
          <w:b/>
          <w:sz w:val="24"/>
          <w:szCs w:val="24"/>
        </w:rPr>
        <w:t>Шаблон рекомендаций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 дает возможность создать рекомендации по снижению веса на усмотрение специалиста.   </w:t>
      </w: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При нажатии на кнопку </w:t>
      </w:r>
      <w:r w:rsidRPr="00F72C1B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«+»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, в раздел «Коррекция факторов риска повторного сосудистого события»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2C1B">
        <w:rPr>
          <w:rFonts w:ascii="Times New Roman" w:eastAsia="Calibri" w:hAnsi="Times New Roman" w:cs="Times New Roman"/>
          <w:sz w:val="24"/>
          <w:szCs w:val="24"/>
        </w:rPr>
        <w:t>Заголовок раздела (Снижение веса)</w:t>
      </w:r>
    </w:p>
    <w:p w:rsidR="00B95D04" w:rsidRPr="00F72C1B" w:rsidRDefault="00B95D04" w:rsidP="00B95D04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2C1B">
        <w:rPr>
          <w:rFonts w:ascii="Times New Roman" w:eastAsia="Calibri" w:hAnsi="Times New Roman" w:cs="Times New Roman"/>
          <w:sz w:val="24"/>
          <w:szCs w:val="24"/>
        </w:rPr>
        <w:t>Дата. Содержимое шаблона рекомендаций.</w:t>
      </w:r>
    </w:p>
    <w:p w:rsidR="00DB2E0F" w:rsidRDefault="00DB2E0F"/>
    <w:sectPr w:rsidR="00DB2E0F" w:rsidSect="00B95D04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201"/>
    <w:rsid w:val="007A1201"/>
    <w:rsid w:val="00B95D04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923BC2-C10C-4076-A1A0-1F74B85B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D04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B95D04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B95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2022-09-03T12:15:00Z</dcterms:created>
  <dcterms:modified xsi:type="dcterms:W3CDTF">2022-09-03T12:15:00Z</dcterms:modified>
</cp:coreProperties>
</file>