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C7E" w:rsidRPr="00F10C7E" w:rsidRDefault="00F10C7E" w:rsidP="00F10C7E">
      <w:pPr>
        <w:shd w:val="clear" w:color="auto" w:fill="F7CAAC" w:themeFill="accent2" w:themeFillTint="66"/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АНТИГИПЕРТЕНЗИВНАЯ ТЕРАПИЯ</w:t>
      </w:r>
    </w:p>
    <w:p w:rsidR="00F10C7E" w:rsidRPr="00F10C7E" w:rsidRDefault="00F10C7E" w:rsidP="00F10C7E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7D6FE26A" wp14:editId="484DFF2F">
            <wp:extent cx="5760000" cy="3239999"/>
            <wp:effectExtent l="190500" t="190500" r="184150" b="189230"/>
            <wp:docPr id="1105" name="Рисунок 1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Просмотр информации, выходящей за нижнюю границу экрана при помощи вертикального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скроллбара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или колесика мышки. 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b/>
          <w:color w:val="0070C0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73437F85" wp14:editId="7F7FFC29">
            <wp:extent cx="838200" cy="219075"/>
            <wp:effectExtent l="0" t="0" r="0" b="9525"/>
            <wp:docPr id="1106" name="Рисунок 1106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b/>
          <w:sz w:val="24"/>
        </w:rPr>
        <w:t>Кнопка «Назад к списку»</w:t>
      </w:r>
      <w:r w:rsidRPr="00F10C7E">
        <w:rPr>
          <w:rFonts w:ascii="Times New Roman" w:eastAsia="Calibri" w:hAnsi="Times New Roman" w:cs="Times New Roman"/>
          <w:sz w:val="24"/>
        </w:rPr>
        <w:t xml:space="preserve"> - для возврата к спискам видов терапии.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b/>
          <w:color w:val="0070C0"/>
          <w:sz w:val="24"/>
        </w:rPr>
      </w:pPr>
    </w:p>
    <w:p w:rsidR="00F10C7E" w:rsidRPr="00F10C7E" w:rsidRDefault="00F10C7E" w:rsidP="00F10C7E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6BF9B1FE" wp14:editId="652E5C46">
            <wp:extent cx="406596" cy="360000"/>
            <wp:effectExtent l="0" t="0" r="0" b="2540"/>
            <wp:docPr id="734" name="Рисунок 734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 </w:t>
      </w:r>
      <w:r w:rsidRPr="00F10C7E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F10C7E">
        <w:rPr>
          <w:rFonts w:ascii="Times New Roman" w:eastAsia="Calibri" w:hAnsi="Times New Roman" w:cs="Times New Roman"/>
          <w:sz w:val="24"/>
        </w:rPr>
        <w:t xml:space="preserve"> </w:t>
      </w:r>
    </w:p>
    <w:p w:rsidR="00F10C7E" w:rsidRPr="00F10C7E" w:rsidRDefault="00F10C7E" w:rsidP="00F10C7E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hd w:val="clear" w:color="auto" w:fill="FBE4D5" w:themeFill="accent2" w:themeFillTint="33"/>
        <w:spacing w:after="0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3E96E523" wp14:editId="3DE14549">
            <wp:extent cx="406596" cy="360000"/>
            <wp:effectExtent l="0" t="0" r="0" b="2540"/>
            <wp:docPr id="137" name="Рисунок 137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i/>
          <w:sz w:val="24"/>
        </w:rPr>
        <w:t xml:space="preserve">  </w:t>
      </w:r>
      <w:r w:rsidRPr="00F10C7E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F10C7E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F10C7E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F10C7E" w:rsidRPr="00F10C7E" w:rsidRDefault="00F10C7E" w:rsidP="00F10C7E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Calibri" w:hAnsi="Times New Roman" w:cs="Times New Roman"/>
          <w:sz w:val="24"/>
        </w:rPr>
        <w:t>П</w:t>
      </w:r>
      <w:r w:rsidRPr="00F10C7E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F10C7E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  <w:bookmarkStart w:id="0" w:name="_GoBack"/>
      <w:bookmarkEnd w:id="0"/>
    </w:p>
    <w:p w:rsidR="00F10C7E" w:rsidRPr="00F10C7E" w:rsidRDefault="00F10C7E" w:rsidP="00F10C7E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F10C7E">
        <w:rPr>
          <w:rFonts w:ascii="Times New Roman" w:eastAsia="Calibri" w:hAnsi="Times New Roman" w:cs="Times New Roman"/>
          <w:b/>
          <w:sz w:val="28"/>
        </w:rPr>
        <w:t>АНТИГИПЕРТЕНЗИВНАЯ ТЕРАПИЯ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F10C7E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1. Рекомендован регулярный контроль уровня АД. Снижение уровня АД после острейшего периода инсульта, включая пациентов с нормальным уровнем АД (Класс I, уровень А)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  <w:r w:rsidRPr="00F10C7E">
        <w:rPr>
          <w:rFonts w:ascii="Times New Roman" w:eastAsia="Calibri" w:hAnsi="Times New Roman" w:cs="Times New Roman"/>
          <w:i/>
          <w:sz w:val="24"/>
        </w:rPr>
        <w:t>.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  <w:vertAlign w:val="superscript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2. У пациентов с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окклюзирующим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или тяжелым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стенозирующим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поражением брахицефальных артерий следует избегать чрезмерного снижения АД. Рекомендуется индивидуализированный подход к снижению АД на основании суточного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мониторирования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АД и контроля субъективного состояния.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3. Снижение АД рекомендуется для профилактики ИИ и других сосудистых заболеваний (Класс I, уровень А).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4. Снижение АД целесообразно и при отсутствии артериальной гипертензии (Класс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IIа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>, уровень В).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5. Оптимальный уровень АД индивидуален; 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lastRenderedPageBreak/>
        <w:t xml:space="preserve">- следует постепенно снизить АД на 10/5 мм рт. ст. и достигнуть нормальных значений АД — ниже 140/90 мм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рт.ст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., 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- в случае сахарного диабета и почечной недостаточности —130/80 мм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рт.ст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. (Класс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IIа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, уровень В), 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- для больных с лакунарным инсультом — ниже 130/80 мм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рт.ст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. 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b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>- у больных, имеющих существенный стеноз (сужение более 70% диаметра) или окклюзию сонных артерий, целесообразен более высокий уровень систолического АД.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  <w:u w:val="single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Не следует значительно снижать АД у больных с предполагаемым гемодинамическим инсультом или билатеральным стенозом сонных артерий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3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1. Назначение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антигипертензивных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препаратов больным, перенесшим мозговой инсульт или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>транзиторную ишемическую атаку, существенно снижает вероятность повторного мозгового инсульта или других сердечно-сосудистых осложнений</w:t>
      </w:r>
      <w:r w:rsidRPr="00F10C7E">
        <w:rPr>
          <w:rFonts w:ascii="Times New Roman" w:eastAsia="Calibri" w:hAnsi="Times New Roman" w:cs="Times New Roman"/>
          <w:b/>
          <w:i/>
          <w:sz w:val="24"/>
        </w:rPr>
        <w:t>.</w:t>
      </w:r>
      <w:r w:rsidRPr="00F10C7E">
        <w:rPr>
          <w:rFonts w:ascii="Times New Roman" w:eastAsia="Calibri" w:hAnsi="Times New Roman" w:cs="Times New Roman"/>
          <w:b/>
          <w:i/>
          <w:sz w:val="24"/>
          <w:vertAlign w:val="superscript"/>
        </w:rPr>
        <w:t>2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2. Мета-анализ 7 крупных исследований, в которых приняли участие 15 527 человек с перенесенным мозговым инсультом (как ишемическим, так и геморрагическим) или ТИА, показал, что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антигипертензивная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терапия снижает риск повторного инсульта на 24%, при этом более выраженное снижение САД ассоциировалось с меньшим риском повторного инсульта.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2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F10C7E">
        <w:rPr>
          <w:rFonts w:ascii="Times New Roman" w:eastAsia="Calibri" w:hAnsi="Times New Roman" w:cs="Times New Roman"/>
          <w:b/>
          <w:sz w:val="28"/>
        </w:rPr>
        <w:t>Лекарственные препараты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62BC5A2" wp14:editId="58498F99">
            <wp:extent cx="209550" cy="209550"/>
            <wp:effectExtent l="0" t="0" r="0" b="0"/>
            <wp:docPr id="1157" name="Рисунок 1157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 </w:t>
      </w:r>
      <w:r w:rsidRPr="00F10C7E">
        <w:rPr>
          <w:rFonts w:ascii="Times New Roman" w:eastAsia="Calibri" w:hAnsi="Times New Roman" w:cs="Times New Roman"/>
          <w:b/>
          <w:sz w:val="24"/>
        </w:rPr>
        <w:t xml:space="preserve">Различные классы </w:t>
      </w:r>
      <w:proofErr w:type="spellStart"/>
      <w:r w:rsidRPr="00F10C7E">
        <w:rPr>
          <w:rFonts w:ascii="Times New Roman" w:eastAsia="Calibri" w:hAnsi="Times New Roman" w:cs="Times New Roman"/>
          <w:b/>
          <w:sz w:val="24"/>
        </w:rPr>
        <w:t>антигипертензивных</w:t>
      </w:r>
      <w:proofErr w:type="spellEnd"/>
      <w:r w:rsidRPr="00F10C7E">
        <w:rPr>
          <w:rFonts w:ascii="Times New Roman" w:eastAsia="Calibri" w:hAnsi="Times New Roman" w:cs="Times New Roman"/>
          <w:b/>
          <w:sz w:val="24"/>
        </w:rPr>
        <w:t xml:space="preserve"> средств</w:t>
      </w:r>
      <w:r w:rsidRPr="00F10C7E">
        <w:rPr>
          <w:rFonts w:ascii="Times New Roman" w:eastAsia="Calibri" w:hAnsi="Times New Roman" w:cs="Times New Roman"/>
          <w:b/>
          <w:sz w:val="24"/>
          <w:vertAlign w:val="superscript"/>
        </w:rPr>
        <w:t xml:space="preserve">1 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F10C7E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- с учетом индивидуальных особенностей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- выбор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антигипертензивных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препаратов следует осуществлять с учетом наличия сопутствующих заболеваний (изменения в сонных артериях, наличие сердечно-сосудистых заболеваний, сахарного диабета, почечной недостаточности и т.д.), однако предпочтение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  <w:vertAlign w:val="superscript"/>
        </w:rPr>
      </w:pPr>
      <w:r w:rsidRPr="00F10C7E">
        <w:rPr>
          <w:rFonts w:ascii="Times New Roman" w:eastAsia="Calibri" w:hAnsi="Times New Roman" w:cs="Times New Roman"/>
          <w:i/>
          <w:sz w:val="24"/>
        </w:rPr>
        <w:t>следует отдавать диуретикам или комбинации диуретиков с ингибиторами АПФ (класс рекомендаций I, уровень доказательств A)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2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10C7E" w:rsidRPr="00F10C7E" w:rsidTr="00C70B9F">
        <w:tc>
          <w:tcPr>
            <w:tcW w:w="10177" w:type="dxa"/>
          </w:tcPr>
          <w:p w:rsidR="00F10C7E" w:rsidRPr="00F10C7E" w:rsidRDefault="00F10C7E" w:rsidP="00F10C7E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10C7E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F10C7E" w:rsidRPr="00F10C7E" w:rsidRDefault="00F10C7E" w:rsidP="00F10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F10C7E">
        <w:rPr>
          <w:rFonts w:ascii="Times New Roman" w:eastAsia="Calibri" w:hAnsi="Times New Roman" w:cs="Times New Roman"/>
          <w:b/>
          <w:sz w:val="24"/>
        </w:rPr>
        <w:t xml:space="preserve">Шаблон назначения ЛС </w:t>
      </w:r>
      <w:r w:rsidRPr="00F10C7E">
        <w:rPr>
          <w:rFonts w:ascii="Times New Roman" w:eastAsia="Calibri" w:hAnsi="Times New Roman" w:cs="Times New Roman"/>
          <w:i/>
          <w:sz w:val="24"/>
        </w:rPr>
        <w:t>(далее - аналогично)</w:t>
      </w:r>
      <w:r w:rsidRPr="00F10C7E">
        <w:rPr>
          <w:rFonts w:ascii="Times New Roman" w:eastAsia="Calibri" w:hAnsi="Times New Roman" w:cs="Times New Roman"/>
          <w:b/>
          <w:sz w:val="24"/>
        </w:rPr>
        <w:t>.</w:t>
      </w:r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Calibri" w:hAnsi="Times New Roman" w:cs="Times New Roman"/>
          <w:sz w:val="24"/>
        </w:rPr>
        <w:t xml:space="preserve">В шаблон вписывается название ЛС, дозировки и другие данные на усмотрение специалиста. Внесенные данные сохраняются в качестве шаблона (отображаются в личных кабинетах всех пациентов) с возможностью дальнейшего редактирования. 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0C7E">
        <w:rPr>
          <w:rFonts w:ascii="Times New Roman" w:eastAsia="Calibri" w:hAnsi="Times New Roman" w:cs="Times New Roman"/>
          <w:sz w:val="24"/>
          <w:szCs w:val="24"/>
        </w:rPr>
        <w:t>При нажатии на кнопку</w:t>
      </w:r>
      <w:r w:rsidRPr="00F10C7E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«+»</w:t>
      </w:r>
      <w:r w:rsidRPr="00F10C7E">
        <w:rPr>
          <w:rFonts w:ascii="Times New Roman" w:eastAsia="Calibri" w:hAnsi="Times New Roman" w:cs="Times New Roman"/>
          <w:sz w:val="24"/>
          <w:szCs w:val="24"/>
        </w:rPr>
        <w:t>, в программу индивидуализированной вторичной профилактики повторного сосудистого события пациента (в личный кабинет которого осуществлен вход), в раздел «Медикаментозная терапия» добавляется: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F10C7E">
        <w:rPr>
          <w:rFonts w:ascii="Times New Roman" w:eastAsia="Calibri" w:hAnsi="Times New Roman" w:cs="Times New Roman"/>
          <w:color w:val="0070C0"/>
          <w:sz w:val="24"/>
          <w:szCs w:val="24"/>
        </w:rPr>
        <w:t>Дата. Название терапии</w:t>
      </w:r>
      <w:r w:rsidRPr="00F10C7E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F10C7E">
        <w:rPr>
          <w:rFonts w:ascii="Times New Roman" w:eastAsia="Calibri" w:hAnsi="Times New Roman" w:cs="Times New Roman"/>
          <w:i/>
          <w:sz w:val="24"/>
          <w:szCs w:val="24"/>
        </w:rPr>
        <w:t>(в данном примере «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  <w:szCs w:val="24"/>
        </w:rPr>
        <w:t>Антигипертензивная</w:t>
      </w:r>
      <w:proofErr w:type="spellEnd"/>
      <w:r w:rsidRPr="00F10C7E">
        <w:rPr>
          <w:rFonts w:ascii="Times New Roman" w:eastAsia="Calibri" w:hAnsi="Times New Roman" w:cs="Times New Roman"/>
          <w:i/>
          <w:sz w:val="24"/>
          <w:szCs w:val="24"/>
        </w:rPr>
        <w:t xml:space="preserve"> терапия»)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F10C7E">
        <w:rPr>
          <w:rFonts w:ascii="Times New Roman" w:eastAsia="Calibri" w:hAnsi="Times New Roman" w:cs="Times New Roman"/>
          <w:color w:val="0070C0"/>
          <w:sz w:val="24"/>
          <w:szCs w:val="24"/>
        </w:rPr>
        <w:t>Заголовок пункта, в котором нажата кнопка «+»</w:t>
      </w:r>
      <w:r w:rsidRPr="00F10C7E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F10C7E">
        <w:rPr>
          <w:rFonts w:ascii="Times New Roman" w:eastAsia="Calibri" w:hAnsi="Times New Roman" w:cs="Times New Roman"/>
          <w:i/>
          <w:sz w:val="24"/>
          <w:szCs w:val="24"/>
        </w:rPr>
        <w:t xml:space="preserve">(в данном примере Различные классы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  <w:szCs w:val="24"/>
        </w:rPr>
        <w:t>антигипертензивных</w:t>
      </w:r>
      <w:proofErr w:type="spellEnd"/>
      <w:r w:rsidRPr="00F10C7E">
        <w:rPr>
          <w:rFonts w:ascii="Times New Roman" w:eastAsia="Calibri" w:hAnsi="Times New Roman" w:cs="Times New Roman"/>
          <w:i/>
          <w:sz w:val="24"/>
          <w:szCs w:val="24"/>
        </w:rPr>
        <w:t xml:space="preserve"> средств)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color w:val="0070C0"/>
          <w:sz w:val="24"/>
          <w:szCs w:val="24"/>
        </w:rPr>
      </w:pPr>
      <w:r w:rsidRPr="00F10C7E">
        <w:rPr>
          <w:rFonts w:ascii="Times New Roman" w:eastAsia="Calibri" w:hAnsi="Times New Roman" w:cs="Times New Roman"/>
          <w:color w:val="0070C0"/>
          <w:sz w:val="24"/>
          <w:szCs w:val="24"/>
        </w:rPr>
        <w:t>Содержимое шаблона назначения.</w:t>
      </w:r>
    </w:p>
    <w:p w:rsidR="00F10C7E" w:rsidRPr="00F10C7E" w:rsidRDefault="00F10C7E" w:rsidP="00F10C7E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i/>
          <w:sz w:val="24"/>
          <w:lang w:eastAsia="ru-RU"/>
        </w:rPr>
      </w:pPr>
      <w:r w:rsidRPr="00F10C7E">
        <w:rPr>
          <w:rFonts w:ascii="Times New Roman" w:eastAsia="Calibri" w:hAnsi="Times New Roman" w:cs="Times New Roman"/>
          <w:i/>
          <w:sz w:val="24"/>
          <w:szCs w:val="28"/>
        </w:rPr>
        <w:t xml:space="preserve">Перенесенные данные доступны для редактирования </w:t>
      </w:r>
      <w:r w:rsidRPr="00F10C7E">
        <w:rPr>
          <w:rFonts w:ascii="Times New Roman" w:hAnsi="Times New Roman" w:cs="Times New Roman"/>
          <w:i/>
          <w:sz w:val="24"/>
          <w:lang w:eastAsia="ru-RU"/>
        </w:rPr>
        <w:t>(добавления, удаления) путем установки курсора и ввода с клавиатуры.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color w:val="0070C0"/>
          <w:sz w:val="24"/>
          <w:szCs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1916BFD2" wp14:editId="18C98999">
            <wp:extent cx="207010" cy="207010"/>
            <wp:effectExtent l="0" t="0" r="2540" b="2540"/>
            <wp:docPr id="1112" name="Рисунок 1112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b/>
          <w:sz w:val="24"/>
        </w:rPr>
        <w:t xml:space="preserve">Диуретики, комбинации диуретика и ингибитора </w:t>
      </w:r>
      <w:proofErr w:type="spellStart"/>
      <w:r w:rsidRPr="00F10C7E">
        <w:rPr>
          <w:rFonts w:ascii="Times New Roman" w:eastAsia="Calibri" w:hAnsi="Times New Roman" w:cs="Times New Roman"/>
          <w:b/>
          <w:sz w:val="24"/>
        </w:rPr>
        <w:t>ангиотензипревращающего</w:t>
      </w:r>
      <w:proofErr w:type="spellEnd"/>
      <w:r w:rsidRPr="00F10C7E">
        <w:rPr>
          <w:rFonts w:ascii="Times New Roman" w:eastAsia="Calibri" w:hAnsi="Times New Roman" w:cs="Times New Roman"/>
          <w:b/>
          <w:sz w:val="24"/>
        </w:rPr>
        <w:t xml:space="preserve"> фермента</w:t>
      </w:r>
      <w:r w:rsidRPr="00F10C7E">
        <w:rPr>
          <w:rFonts w:ascii="Times New Roman" w:eastAsia="Calibri" w:hAnsi="Times New Roman" w:cs="Times New Roman"/>
          <w:b/>
          <w:sz w:val="24"/>
          <w:vertAlign w:val="superscript"/>
        </w:rPr>
        <w:t xml:space="preserve">1 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F10C7E">
        <w:rPr>
          <w:rFonts w:ascii="Times New Roman" w:eastAsia="Calibri" w:hAnsi="Times New Roman" w:cs="Times New Roman"/>
          <w:i/>
          <w:sz w:val="24"/>
          <w:u w:val="single"/>
        </w:rPr>
        <w:lastRenderedPageBreak/>
        <w:t>Комментарий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- с учетом индивидуальных особенностей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- выбор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антигипертензивных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препаратов следует осуществлять с учетом наличия сопутствующих заболеваний (изменения в сонных артериях, наличие сердечно-сосудистых заболеваний, сахарного диабета, почечной недостаточности и т.д.), однако предпочтение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  <w:vertAlign w:val="superscript"/>
        </w:rPr>
      </w:pPr>
      <w:r w:rsidRPr="00F10C7E">
        <w:rPr>
          <w:rFonts w:ascii="Times New Roman" w:eastAsia="Calibri" w:hAnsi="Times New Roman" w:cs="Times New Roman"/>
          <w:i/>
          <w:sz w:val="24"/>
        </w:rPr>
        <w:t>следует отдавать диуретикам или комбинации диуретиков с ингибиторами АПФ (класс рекомендаций I, уровень доказательств A)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2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10C7E" w:rsidRPr="00F10C7E" w:rsidTr="00C70B9F">
        <w:tc>
          <w:tcPr>
            <w:tcW w:w="10177" w:type="dxa"/>
          </w:tcPr>
          <w:p w:rsidR="00F10C7E" w:rsidRPr="00F10C7E" w:rsidRDefault="00F10C7E" w:rsidP="00F10C7E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10C7E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F10C7E" w:rsidRPr="00F10C7E" w:rsidRDefault="00F10C7E" w:rsidP="00F10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b/>
          <w:sz w:val="26"/>
          <w:szCs w:val="26"/>
          <w:vertAlign w:val="superscript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6B06FCD" wp14:editId="39BDCE4F">
            <wp:extent cx="207010" cy="207010"/>
            <wp:effectExtent l="0" t="0" r="2540" b="2540"/>
            <wp:docPr id="1113" name="Рисунок 1113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b/>
          <w:sz w:val="24"/>
          <w:szCs w:val="26"/>
        </w:rPr>
        <w:t>Эпросартан</w:t>
      </w:r>
      <w:r w:rsidRPr="00F10C7E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1;</w:t>
      </w:r>
      <w:r w:rsidRPr="00F10C7E">
        <w:rPr>
          <w:rFonts w:ascii="Times New Roman" w:eastAsia="Calibri" w:hAnsi="Times New Roman" w:cs="Times New Roman"/>
          <w:b/>
          <w:sz w:val="24"/>
          <w:szCs w:val="26"/>
        </w:rPr>
        <w:t xml:space="preserve"> </w:t>
      </w:r>
      <w:r w:rsidRPr="00F10C7E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2; 3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F10C7E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- применение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эпросартана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более эффективно во вторичной профилактике ИИ и ТИА, чем применение нитрендипина.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1;3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10C7E">
        <w:rPr>
          <w:rFonts w:ascii="Times New Roman" w:eastAsia="Calibri" w:hAnsi="Times New Roman" w:cs="Times New Roman"/>
          <w:i/>
          <w:sz w:val="24"/>
        </w:rPr>
        <w:t xml:space="preserve">   - в исследовании MOSES (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Morbidity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and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Mortality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After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Stroke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,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Eprosartan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Compared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with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Nitrendipine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for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Secondary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Prevention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), в котором проводили оценку эффективности блокатора АРА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эпросартана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и блокатора кальциевых каналов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нитрендипина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в предупреждении повторного инсульта, было показано значимое снижение риска цереброваскулярных осложнений (повторного инсульта и ТИА) на 25% только в группе пациентов, принимающих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эпросартан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, при этом отмечено отсутствие значимого влияния </w:t>
      </w:r>
      <w:proofErr w:type="spellStart"/>
      <w:r w:rsidRPr="00F10C7E">
        <w:rPr>
          <w:rFonts w:ascii="Times New Roman" w:eastAsia="Calibri" w:hAnsi="Times New Roman" w:cs="Times New Roman"/>
          <w:i/>
          <w:sz w:val="24"/>
        </w:rPr>
        <w:t>эпросартана</w:t>
      </w:r>
      <w:proofErr w:type="spellEnd"/>
      <w:r w:rsidRPr="00F10C7E">
        <w:rPr>
          <w:rFonts w:ascii="Times New Roman" w:eastAsia="Calibri" w:hAnsi="Times New Roman" w:cs="Times New Roman"/>
          <w:i/>
          <w:sz w:val="24"/>
        </w:rPr>
        <w:t xml:space="preserve"> на снижение частоты ишемического инсульта и срок наступления повторного цереброваскулярного события.</w:t>
      </w:r>
      <w:r w:rsidRPr="00F10C7E">
        <w:rPr>
          <w:rFonts w:ascii="Times New Roman" w:eastAsia="Calibri" w:hAnsi="Times New Roman" w:cs="Times New Roman"/>
          <w:i/>
          <w:sz w:val="24"/>
          <w:vertAlign w:val="superscript"/>
        </w:rPr>
        <w:t>2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10C7E" w:rsidRPr="00F10C7E" w:rsidTr="00C70B9F">
        <w:tc>
          <w:tcPr>
            <w:tcW w:w="10177" w:type="dxa"/>
          </w:tcPr>
          <w:p w:rsidR="00F10C7E" w:rsidRPr="00F10C7E" w:rsidRDefault="00F10C7E" w:rsidP="00F10C7E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10C7E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F10C7E" w:rsidRPr="00F10C7E" w:rsidRDefault="00F10C7E" w:rsidP="00F10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b/>
          <w:sz w:val="26"/>
          <w:szCs w:val="26"/>
          <w:vertAlign w:val="superscript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41A08770" wp14:editId="4678AC41">
            <wp:extent cx="207010" cy="207010"/>
            <wp:effectExtent l="0" t="0" r="2540" b="2540"/>
            <wp:docPr id="1114" name="Рисунок 1114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b/>
          <w:sz w:val="24"/>
          <w:szCs w:val="26"/>
        </w:rPr>
        <w:t>Нитрендипин</w:t>
      </w:r>
      <w:r w:rsidRPr="00F10C7E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1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F10C7E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Calibri" w:hAnsi="Times New Roman" w:cs="Times New Roman"/>
          <w:sz w:val="24"/>
        </w:rPr>
        <w:t xml:space="preserve">   - применение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эпросартана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более эффективно во вторичной профилактике ИИ и ТИА, чем применение нитрендипина.</w:t>
      </w:r>
      <w:r w:rsidRPr="00F10C7E">
        <w:rPr>
          <w:rFonts w:ascii="Times New Roman" w:eastAsia="Calibri" w:hAnsi="Times New Roman" w:cs="Times New Roman"/>
          <w:sz w:val="24"/>
          <w:vertAlign w:val="superscript"/>
        </w:rPr>
        <w:t>1;3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Calibri" w:hAnsi="Times New Roman" w:cs="Times New Roman"/>
          <w:sz w:val="24"/>
        </w:rPr>
        <w:t xml:space="preserve">   - в исследовании MOSES (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Morbidity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and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Mortality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After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Stroke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,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Eprosartan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Compared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with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Nitrendipine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for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Secondary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Prevention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), в котором проводили оценку эффективности блокатора АРА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эпросартана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и блокатора кальциевых каналов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нитрендипина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в предупреждении повторного инсульта, было показано значимое снижение риска цереброваскулярных осложнений (повторного инсульта и ТИА) на 25% только в группе пациентов, принимающих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эпросартан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, при этом отмечено отсутствие значимого влияния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эпросартана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на снижение частоты ишемического инсульта и срок наступления повторного цереброваскулярного события.</w:t>
      </w:r>
      <w:r w:rsidRPr="00F10C7E">
        <w:rPr>
          <w:rFonts w:ascii="Times New Roman" w:eastAsia="Calibri" w:hAnsi="Times New Roman" w:cs="Times New Roman"/>
          <w:sz w:val="24"/>
          <w:vertAlign w:val="superscript"/>
        </w:rPr>
        <w:t>2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10C7E" w:rsidRPr="00F10C7E" w:rsidTr="00C70B9F">
        <w:tc>
          <w:tcPr>
            <w:tcW w:w="10177" w:type="dxa"/>
          </w:tcPr>
          <w:p w:rsidR="00F10C7E" w:rsidRPr="00F10C7E" w:rsidRDefault="00F10C7E" w:rsidP="00F10C7E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10C7E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F10C7E" w:rsidRPr="00F10C7E" w:rsidRDefault="00F10C7E" w:rsidP="00F10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b/>
          <w:sz w:val="26"/>
          <w:szCs w:val="26"/>
          <w:vertAlign w:val="superscript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1E7507EA" wp14:editId="0ABD6EBB">
            <wp:extent cx="207010" cy="207010"/>
            <wp:effectExtent l="0" t="0" r="2540" b="2540"/>
            <wp:docPr id="1115" name="Рисунок 1115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b/>
          <w:sz w:val="24"/>
          <w:szCs w:val="26"/>
        </w:rPr>
        <w:t>Тиазидоподобный</w:t>
      </w:r>
      <w:proofErr w:type="spellEnd"/>
      <w:r w:rsidRPr="00F10C7E">
        <w:rPr>
          <w:rFonts w:ascii="Times New Roman" w:eastAsia="Calibri" w:hAnsi="Times New Roman" w:cs="Times New Roman"/>
          <w:b/>
          <w:sz w:val="24"/>
          <w:szCs w:val="26"/>
        </w:rPr>
        <w:t xml:space="preserve"> диуретик индапамид</w:t>
      </w:r>
      <w:r w:rsidRPr="00F10C7E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2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10C7E" w:rsidRPr="00F10C7E" w:rsidTr="00C70B9F">
        <w:tc>
          <w:tcPr>
            <w:tcW w:w="10177" w:type="dxa"/>
          </w:tcPr>
          <w:p w:rsidR="00F10C7E" w:rsidRPr="00F10C7E" w:rsidRDefault="00F10C7E" w:rsidP="00F10C7E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10C7E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F10C7E" w:rsidRPr="00F10C7E" w:rsidRDefault="00F10C7E" w:rsidP="00F10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204DC3CB" wp14:editId="625CFDA3">
            <wp:extent cx="207010" cy="207010"/>
            <wp:effectExtent l="0" t="0" r="2540" b="2540"/>
            <wp:docPr id="1116" name="Рисунок 1116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b/>
          <w:sz w:val="24"/>
          <w:szCs w:val="26"/>
        </w:rPr>
        <w:t xml:space="preserve">Комбинация ингибитора АПФ </w:t>
      </w:r>
      <w:proofErr w:type="spellStart"/>
      <w:r w:rsidRPr="00F10C7E">
        <w:rPr>
          <w:rFonts w:ascii="Times New Roman" w:eastAsia="Calibri" w:hAnsi="Times New Roman" w:cs="Times New Roman"/>
          <w:b/>
          <w:sz w:val="24"/>
          <w:szCs w:val="26"/>
        </w:rPr>
        <w:t>периндоприла</w:t>
      </w:r>
      <w:proofErr w:type="spellEnd"/>
      <w:r w:rsidRPr="00F10C7E">
        <w:rPr>
          <w:rFonts w:ascii="Times New Roman" w:eastAsia="Calibri" w:hAnsi="Times New Roman" w:cs="Times New Roman"/>
          <w:b/>
          <w:sz w:val="24"/>
          <w:szCs w:val="26"/>
        </w:rPr>
        <w:t xml:space="preserve"> с индапамидом</w:t>
      </w:r>
      <w:r w:rsidRPr="00F10C7E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2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10C7E" w:rsidRPr="00F10C7E" w:rsidTr="00C70B9F">
        <w:tc>
          <w:tcPr>
            <w:tcW w:w="10177" w:type="dxa"/>
          </w:tcPr>
          <w:p w:rsidR="00F10C7E" w:rsidRPr="00F10C7E" w:rsidRDefault="00F10C7E" w:rsidP="00F10C7E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10C7E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F10C7E" w:rsidRPr="00F10C7E" w:rsidRDefault="00F10C7E" w:rsidP="00F10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247B4D94" wp14:editId="295BE7CE">
            <wp:extent cx="207010" cy="207010"/>
            <wp:effectExtent l="0" t="0" r="2540" b="2540"/>
            <wp:docPr id="1117" name="Рисунок 1117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b/>
          <w:sz w:val="24"/>
          <w:szCs w:val="26"/>
        </w:rPr>
        <w:t>Ингибитор АПФ рамиприл</w:t>
      </w:r>
      <w:r w:rsidRPr="00F10C7E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2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10C7E" w:rsidRPr="00F10C7E" w:rsidTr="00C70B9F">
        <w:tc>
          <w:tcPr>
            <w:tcW w:w="10177" w:type="dxa"/>
          </w:tcPr>
          <w:p w:rsidR="00F10C7E" w:rsidRPr="00F10C7E" w:rsidRDefault="00F10C7E" w:rsidP="00F10C7E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10C7E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F10C7E" w:rsidRPr="00F10C7E" w:rsidRDefault="00F10C7E" w:rsidP="00F10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45D896CA" wp14:editId="211D8BC4">
            <wp:extent cx="207010" cy="207010"/>
            <wp:effectExtent l="0" t="0" r="2540" b="2540"/>
            <wp:docPr id="1118" name="Рисунок 1118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b/>
          <w:sz w:val="24"/>
          <w:szCs w:val="26"/>
        </w:rPr>
        <w:t>Кандесартан</w:t>
      </w:r>
      <w:r w:rsidRPr="00F10C7E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2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F10C7E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Calibri" w:hAnsi="Times New Roman" w:cs="Times New Roman"/>
          <w:sz w:val="24"/>
        </w:rPr>
        <w:t xml:space="preserve">   В исследовании SCOPE (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Study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on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Cognition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and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Prognosis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in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the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Elderly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) у больных АГ пожилого возраста (70–89 лет) наблюдалось уменьшение риска развития повторного инсульта в группе больных, получавших лечение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кандесартаном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, а в исследовании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PRoFESS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(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Prevention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Regimen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for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Effectively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Avoiding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Second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Strokes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) назначение </w:t>
      </w:r>
      <w:proofErr w:type="spellStart"/>
      <w:r w:rsidRPr="00F10C7E">
        <w:rPr>
          <w:rFonts w:ascii="Times New Roman" w:eastAsia="Calibri" w:hAnsi="Times New Roman" w:cs="Times New Roman"/>
          <w:sz w:val="24"/>
        </w:rPr>
        <w:t>телмисартана</w:t>
      </w:r>
      <w:proofErr w:type="spellEnd"/>
      <w:r w:rsidRPr="00F10C7E">
        <w:rPr>
          <w:rFonts w:ascii="Times New Roman" w:eastAsia="Calibri" w:hAnsi="Times New Roman" w:cs="Times New Roman"/>
          <w:sz w:val="24"/>
        </w:rPr>
        <w:t xml:space="preserve"> не приводило к значимому уменьшению случаев повторного инсульта.</w:t>
      </w:r>
      <w:r w:rsidRPr="00F10C7E">
        <w:rPr>
          <w:rFonts w:ascii="Times New Roman" w:eastAsia="Calibri" w:hAnsi="Times New Roman" w:cs="Times New Roman"/>
          <w:sz w:val="24"/>
          <w:vertAlign w:val="superscript"/>
        </w:rPr>
        <w:t>2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10C7E" w:rsidRPr="00F10C7E" w:rsidTr="00C70B9F">
        <w:tc>
          <w:tcPr>
            <w:tcW w:w="10177" w:type="dxa"/>
          </w:tcPr>
          <w:p w:rsidR="00F10C7E" w:rsidRPr="00F10C7E" w:rsidRDefault="00F10C7E" w:rsidP="00F10C7E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10C7E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F10C7E" w:rsidRPr="00F10C7E" w:rsidRDefault="00F10C7E" w:rsidP="00F10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F10C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587A384" wp14:editId="3F98B31B">
            <wp:extent cx="207010" cy="207010"/>
            <wp:effectExtent l="0" t="0" r="2540" b="2540"/>
            <wp:docPr id="1119" name="Рисунок 1119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0C7E">
        <w:rPr>
          <w:rFonts w:ascii="Times New Roman" w:eastAsia="Calibri" w:hAnsi="Times New Roman" w:cs="Times New Roman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F10C7E">
        <w:rPr>
          <w:rFonts w:ascii="Times New Roman" w:eastAsia="Calibri" w:hAnsi="Times New Roman" w:cs="Times New Roman"/>
          <w:b/>
          <w:color w:val="A6A6A6"/>
          <w:sz w:val="24"/>
          <w:szCs w:val="26"/>
        </w:rPr>
        <w:t>Дополнительный раздел</w:t>
      </w:r>
    </w:p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10C7E" w:rsidRPr="00F10C7E" w:rsidTr="00C70B9F">
        <w:tc>
          <w:tcPr>
            <w:tcW w:w="10177" w:type="dxa"/>
          </w:tcPr>
          <w:p w:rsidR="00F10C7E" w:rsidRPr="00F10C7E" w:rsidRDefault="00F10C7E" w:rsidP="00F10C7E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F10C7E">
              <w:rPr>
                <w:rFonts w:ascii="Times New Roman" w:hAnsi="Times New Roman" w:cs="Times New Roman"/>
                <w:color w:val="A6A6A6"/>
                <w:sz w:val="24"/>
              </w:rPr>
              <w:t>При необходимости переименуйте раздел и введите данные по своему усмотрению</w:t>
            </w:r>
          </w:p>
          <w:p w:rsidR="00F10C7E" w:rsidRPr="00F10C7E" w:rsidRDefault="00F10C7E" w:rsidP="00F10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10C7E" w:rsidRPr="00F10C7E" w:rsidRDefault="00F10C7E" w:rsidP="00F10C7E">
      <w:pPr>
        <w:spacing w:after="0"/>
        <w:rPr>
          <w:rFonts w:ascii="Times New Roman" w:eastAsia="Calibri" w:hAnsi="Times New Roman" w:cs="Times New Roman"/>
          <w:sz w:val="24"/>
        </w:rPr>
      </w:pPr>
    </w:p>
    <w:p w:rsidR="00F10C7E" w:rsidRPr="00F10C7E" w:rsidRDefault="00F10C7E" w:rsidP="00F10C7E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10C7E">
        <w:rPr>
          <w:rFonts w:ascii="Times New Roman" w:eastAsia="Calibri" w:hAnsi="Times New Roman" w:cs="Times New Roman"/>
          <w:b/>
          <w:sz w:val="24"/>
        </w:rPr>
        <w:t>Дополнительный раздел</w:t>
      </w:r>
      <w:r w:rsidRPr="00F10C7E">
        <w:rPr>
          <w:rFonts w:ascii="Times New Roman" w:eastAsia="Calibri" w:hAnsi="Times New Roman" w:cs="Times New Roman"/>
          <w:sz w:val="24"/>
        </w:rPr>
        <w:t xml:space="preserve"> дает возможность изменить заголовок и создать дополнительный раздел на усмотрение специалиста.</w:t>
      </w:r>
    </w:p>
    <w:p w:rsidR="00DB2E0F" w:rsidRPr="00F10C7E" w:rsidRDefault="00DB2E0F" w:rsidP="00F10C7E">
      <w:pPr>
        <w:rPr>
          <w:rFonts w:ascii="Times New Roman" w:hAnsi="Times New Roman" w:cs="Times New Roman"/>
        </w:rPr>
      </w:pPr>
    </w:p>
    <w:sectPr w:rsidR="00DB2E0F" w:rsidRPr="00F10C7E" w:rsidSect="00F10C7E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3BB"/>
    <w:rsid w:val="001203BB"/>
    <w:rsid w:val="00DB2E0F"/>
    <w:rsid w:val="00DC4E49"/>
    <w:rsid w:val="00F1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FC92C1-EEFC-4AA1-B7AB-C98D83DF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0C7E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4">
    <w:name w:val="Сетка таблицы4"/>
    <w:basedOn w:val="a1"/>
    <w:next w:val="a3"/>
    <w:uiPriority w:val="39"/>
    <w:rsid w:val="00F10C7E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F10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1017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2022-09-03T13:03:00Z</dcterms:created>
  <dcterms:modified xsi:type="dcterms:W3CDTF">2022-09-03T13:04:00Z</dcterms:modified>
</cp:coreProperties>
</file>