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9C8" w:rsidRPr="00F72C1B" w:rsidRDefault="00B029C8" w:rsidP="00B029C8">
      <w:pPr>
        <w:shd w:val="clear" w:color="auto" w:fill="F7CAAC" w:themeFill="accent2" w:themeFillTint="66"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Calibri" w:hAnsi="Times New Roman" w:cs="Times New Roman"/>
          <w:b/>
          <w:sz w:val="28"/>
        </w:rPr>
        <w:t>ШКАЛА SCORE:</w:t>
      </w:r>
    </w:p>
    <w:p w:rsidR="00B029C8" w:rsidRPr="00F72C1B" w:rsidRDefault="00B029C8" w:rsidP="00B029C8">
      <w:pPr>
        <w:shd w:val="clear" w:color="auto" w:fill="F7CAAC" w:themeFill="accent2" w:themeFillTint="66"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Calibri" w:hAnsi="Times New Roman" w:cs="Times New Roman"/>
          <w:b/>
          <w:sz w:val="28"/>
        </w:rPr>
        <w:t>10-летний риск фатальных сердечно - сосудистых осложнений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Calibri" w:hAnsi="Times New Roman" w:cs="Times New Roman"/>
          <w:b/>
          <w:noProof/>
          <w:sz w:val="28"/>
          <w:lang w:eastAsia="ru-RU"/>
        </w:rPr>
        <w:drawing>
          <wp:inline distT="0" distB="0" distL="0" distR="0" wp14:anchorId="0B3FE9D7" wp14:editId="2DFA8857">
            <wp:extent cx="5760000" cy="3240000"/>
            <wp:effectExtent l="190500" t="190500" r="184150" b="189230"/>
            <wp:docPr id="767" name="Рисунок 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B029C8" w:rsidRPr="00F72C1B" w:rsidRDefault="00B029C8" w:rsidP="00B029C8">
      <w:pPr>
        <w:spacing w:after="0"/>
        <w:jc w:val="center"/>
        <w:rPr>
          <w:rFonts w:ascii="Times New Roman" w:eastAsia="Calibri" w:hAnsi="Times New Roman" w:cs="Times New Roman"/>
          <w:b/>
          <w:sz w:val="28"/>
        </w:rPr>
      </w:pPr>
      <w:r w:rsidRPr="00F72C1B">
        <w:rPr>
          <w:rFonts w:ascii="Times New Roman" w:eastAsia="Calibri" w:hAnsi="Times New Roman" w:cs="Times New Roman"/>
          <w:b/>
          <w:sz w:val="28"/>
        </w:rPr>
        <w:t>Шкала SCORE: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ind w:left="142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F72C1B">
        <w:rPr>
          <w:rFonts w:ascii="Times New Roman" w:eastAsia="Calibri" w:hAnsi="Times New Roman" w:cs="Times New Roman"/>
          <w:b/>
          <w:sz w:val="28"/>
        </w:rPr>
        <w:t>10-летний риск фатальных сердечно - сосудистых осложнений</w:t>
      </w:r>
      <w:r w:rsidRPr="00F72C1B">
        <w:rPr>
          <w:rFonts w:ascii="Times New Roman" w:eastAsia="Calibri" w:hAnsi="Times New Roman" w:cs="Times New Roman"/>
          <w:b/>
          <w:sz w:val="28"/>
        </w:rPr>
        <w:br w:type="textWrapping" w:clear="all"/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F72C1B">
        <w:rPr>
          <w:rFonts w:ascii="Times New Roman" w:eastAsia="Calibri" w:hAnsi="Times New Roman" w:cs="Times New Roman"/>
          <w:i/>
          <w:sz w:val="24"/>
          <w:szCs w:val="28"/>
        </w:rPr>
        <w:t>Для того, чтобы оценить 10-летний риск фатальных сердечно-сосудистых осложнений человека: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F72C1B">
        <w:rPr>
          <w:rFonts w:ascii="Times New Roman" w:eastAsia="Calibri" w:hAnsi="Times New Roman" w:cs="Times New Roman"/>
          <w:i/>
          <w:sz w:val="24"/>
          <w:szCs w:val="28"/>
        </w:rPr>
        <w:t>1. Выберите столбец, соответствующий его полу и возрасту.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F72C1B">
        <w:rPr>
          <w:rFonts w:ascii="Times New Roman" w:eastAsia="Calibri" w:hAnsi="Times New Roman" w:cs="Times New Roman"/>
          <w:i/>
          <w:sz w:val="24"/>
          <w:szCs w:val="28"/>
        </w:rPr>
        <w:t>2. Найдите ячейку, соответствующую его статусу курения, уровням систолического артериального давления (САД) и ОХС.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F72C1B">
        <w:rPr>
          <w:rFonts w:ascii="Times New Roman" w:eastAsia="Calibri" w:hAnsi="Times New Roman" w:cs="Times New Roman"/>
          <w:i/>
          <w:sz w:val="24"/>
          <w:szCs w:val="28"/>
        </w:rPr>
        <w:t>3. Цифра в ячейке показывает 10-летний риск фатальных сердечно-сосудистых осложнений – это абсолютный суммарный сердечно-сосудистый риск (ССР). Нажмите на выбранную ячейку для добавления результата в ячейку «Вывод»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i/>
          <w:sz w:val="24"/>
          <w:szCs w:val="28"/>
        </w:rPr>
      </w:pPr>
      <w:r w:rsidRPr="00F72C1B">
        <w:rPr>
          <w:rFonts w:ascii="Times New Roman" w:eastAsia="Calibri" w:hAnsi="Times New Roman" w:cs="Times New Roman"/>
          <w:i/>
          <w:sz w:val="24"/>
          <w:szCs w:val="28"/>
        </w:rPr>
        <w:t xml:space="preserve">4. Для добавления результата в персональную программу индивидуализированной вторичной профилактики повторного сосудистого события пациента нажать на кнопку "+" 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b/>
          <w:sz w:val="24"/>
        </w:rPr>
      </w:pPr>
      <w:r w:rsidRPr="00F72C1B">
        <w:rPr>
          <w:rFonts w:ascii="Times New Roman" w:eastAsia="Calibri" w:hAnsi="Times New Roman" w:cs="Times New Roman"/>
          <w:i/>
          <w:color w:val="0070C0"/>
          <w:sz w:val="24"/>
        </w:rPr>
        <w:t xml:space="preserve"> 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F72C1B">
        <w:rPr>
          <w:rFonts w:ascii="Times New Roman" w:eastAsia="Calibri" w:hAnsi="Times New Roman" w:cs="Times New Roman"/>
          <w:b/>
          <w:noProof/>
          <w:sz w:val="24"/>
          <w:lang w:eastAsia="ru-RU"/>
        </w:rPr>
        <w:lastRenderedPageBreak/>
        <w:drawing>
          <wp:inline distT="0" distB="0" distL="0" distR="0" wp14:anchorId="7F4D4406" wp14:editId="523792E3">
            <wp:extent cx="5400000" cy="4289720"/>
            <wp:effectExtent l="0" t="0" r="0" b="0"/>
            <wp:docPr id="556" name="Рисунок 556" descr="шкал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шкала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428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F72C1B">
        <w:rPr>
          <w:rFonts w:ascii="Times New Roman" w:eastAsia="Calibri" w:hAnsi="Times New Roman" w:cs="Times New Roman"/>
          <w:i/>
          <w:noProof/>
          <w:sz w:val="24"/>
          <w:lang w:eastAsia="ru-RU"/>
        </w:rPr>
        <w:drawing>
          <wp:anchor distT="0" distB="0" distL="114300" distR="114300" simplePos="0" relativeHeight="251659264" behindDoc="1" locked="0" layoutInCell="1" allowOverlap="1" wp14:anchorId="390B0048" wp14:editId="7616A09F">
            <wp:simplePos x="0" y="0"/>
            <wp:positionH relativeFrom="column">
              <wp:posOffset>5727065</wp:posOffset>
            </wp:positionH>
            <wp:positionV relativeFrom="paragraph">
              <wp:posOffset>163195</wp:posOffset>
            </wp:positionV>
            <wp:extent cx="207010" cy="207010"/>
            <wp:effectExtent l="0" t="0" r="0" b="0"/>
            <wp:wrapTight wrapText="bothSides">
              <wp:wrapPolygon edited="0">
                <wp:start x="0" y="0"/>
                <wp:lineTo x="0" y="19877"/>
                <wp:lineTo x="19877" y="19877"/>
                <wp:lineTo x="19877" y="0"/>
                <wp:lineTo x="0" y="0"/>
              </wp:wrapPolygon>
            </wp:wrapTight>
            <wp:docPr id="543" name="Рисунок 543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лю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0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1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655"/>
      </w:tblGrid>
      <w:tr w:rsidR="00B029C8" w:rsidRPr="00F72C1B" w:rsidTr="00FD7BC7">
        <w:tc>
          <w:tcPr>
            <w:tcW w:w="7655" w:type="dxa"/>
          </w:tcPr>
          <w:p w:rsidR="00B029C8" w:rsidRPr="00F72C1B" w:rsidRDefault="00B029C8" w:rsidP="00FD7BC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72C1B">
              <w:rPr>
                <w:rFonts w:ascii="Times New Roman" w:hAnsi="Times New Roman" w:cs="Times New Roman"/>
                <w:sz w:val="24"/>
              </w:rPr>
              <w:t>Вывод:</w:t>
            </w:r>
          </w:p>
        </w:tc>
      </w:tr>
    </w:tbl>
    <w:p w:rsidR="00B029C8" w:rsidRPr="00F72C1B" w:rsidRDefault="00B029C8" w:rsidP="00B029C8">
      <w:pPr>
        <w:autoSpaceDE w:val="0"/>
        <w:autoSpaceDN w:val="0"/>
        <w:adjustRightInd w:val="0"/>
        <w:spacing w:after="0"/>
        <w:rPr>
          <w:rFonts w:ascii="Times New Roman" w:eastAsia="Calibri" w:hAnsi="Times New Roman" w:cs="Times New Roman"/>
          <w:b/>
          <w:sz w:val="24"/>
        </w:rPr>
      </w:pPr>
    </w:p>
    <w:p w:rsidR="00B029C8" w:rsidRPr="00F72C1B" w:rsidRDefault="00B029C8" w:rsidP="00B029C8">
      <w:pPr>
        <w:spacing w:after="0"/>
        <w:ind w:left="284"/>
        <w:rPr>
          <w:rFonts w:ascii="Times New Roman" w:hAnsi="Times New Roman" w:cs="Times New Roman"/>
          <w:i/>
          <w:color w:val="0070C0"/>
          <w:sz w:val="24"/>
          <w:lang w:eastAsia="ru-RU"/>
        </w:rPr>
      </w:pPr>
    </w:p>
    <w:p w:rsidR="00B029C8" w:rsidRPr="00F72C1B" w:rsidRDefault="00B029C8" w:rsidP="00B029C8">
      <w:pPr>
        <w:spacing w:after="0"/>
        <w:jc w:val="center"/>
        <w:rPr>
          <w:rFonts w:ascii="Times New Roman" w:eastAsia="Calibri" w:hAnsi="Times New Roman" w:cs="Times New Roman"/>
          <w:b/>
          <w:sz w:val="24"/>
        </w:rPr>
      </w:pPr>
      <w:r w:rsidRPr="00855C97">
        <w:rPr>
          <w:rFonts w:ascii="Times New Roman" w:eastAsia="Calibri" w:hAnsi="Times New Roman" w:cs="Times New Roman"/>
          <w:b/>
          <w:sz w:val="24"/>
        </w:rPr>
        <w:t>Толкование</w:t>
      </w:r>
      <w:r w:rsidRPr="00F72C1B">
        <w:rPr>
          <w:rFonts w:ascii="Times New Roman" w:eastAsia="Calibri" w:hAnsi="Times New Roman" w:cs="Times New Roman"/>
          <w:b/>
          <w:sz w:val="24"/>
        </w:rPr>
        <w:t>:</w:t>
      </w:r>
    </w:p>
    <w:p w:rsidR="00B029C8" w:rsidRPr="00F72C1B" w:rsidRDefault="00B029C8" w:rsidP="00B029C8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 xml:space="preserve">Уровень суммарного риска:  </w:t>
      </w:r>
    </w:p>
    <w:p w:rsidR="00B029C8" w:rsidRPr="00F72C1B" w:rsidRDefault="00B029C8" w:rsidP="00B029C8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менее 1% - низкий риск</w:t>
      </w:r>
    </w:p>
    <w:p w:rsidR="00B029C8" w:rsidRPr="00F72C1B" w:rsidRDefault="00B029C8" w:rsidP="00B029C8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≥1 до 4% - средний или умеренно повышенный риск</w:t>
      </w:r>
    </w:p>
    <w:p w:rsidR="00B029C8" w:rsidRPr="00F72C1B" w:rsidRDefault="00B029C8" w:rsidP="00B029C8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≥5% до 9% - высокий риск</w:t>
      </w:r>
    </w:p>
    <w:p w:rsidR="00B029C8" w:rsidRPr="00F72C1B" w:rsidRDefault="00B029C8" w:rsidP="00B029C8">
      <w:pPr>
        <w:spacing w:after="0"/>
        <w:rPr>
          <w:rFonts w:ascii="Times New Roman" w:hAnsi="Times New Roman" w:cs="Times New Roman"/>
          <w:sz w:val="24"/>
          <w:lang w:eastAsia="ru-RU"/>
        </w:rPr>
      </w:pPr>
      <w:r w:rsidRPr="00F72C1B">
        <w:rPr>
          <w:rFonts w:ascii="Times New Roman" w:hAnsi="Times New Roman" w:cs="Times New Roman"/>
          <w:sz w:val="24"/>
          <w:lang w:eastAsia="ru-RU"/>
        </w:rPr>
        <w:t>≥10% - очень высокий риск</w:t>
      </w:r>
    </w:p>
    <w:p w:rsidR="00B029C8" w:rsidRDefault="00B029C8" w:rsidP="00B029C8">
      <w:pPr>
        <w:spacing w:after="0"/>
        <w:rPr>
          <w:rFonts w:ascii="Times New Roman" w:hAnsi="Times New Roman" w:cs="Times New Roman"/>
          <w:i/>
          <w:color w:val="0070C0"/>
          <w:sz w:val="24"/>
          <w:lang w:eastAsia="ru-RU"/>
        </w:rPr>
      </w:pPr>
    </w:p>
    <w:p w:rsidR="00B029C8" w:rsidRPr="00F72C1B" w:rsidRDefault="00B029C8" w:rsidP="00B029C8">
      <w:pPr>
        <w:spacing w:after="0"/>
        <w:rPr>
          <w:rFonts w:ascii="Times New Roman" w:hAnsi="Times New Roman" w:cs="Times New Roman"/>
          <w:i/>
          <w:color w:val="0070C0"/>
          <w:sz w:val="24"/>
          <w:lang w:eastAsia="ru-RU"/>
        </w:rPr>
      </w:pPr>
      <w:bookmarkStart w:id="0" w:name="_GoBack"/>
      <w:bookmarkEnd w:id="0"/>
    </w:p>
    <w:p w:rsidR="00B029C8" w:rsidRPr="00D15CEE" w:rsidRDefault="00B029C8" w:rsidP="00B029C8">
      <w:pPr>
        <w:shd w:val="clear" w:color="auto" w:fill="FBE4D5" w:themeFill="accent2" w:themeFillTint="33"/>
        <w:autoSpaceDE w:val="0"/>
        <w:autoSpaceDN w:val="0"/>
        <w:adjustRightInd w:val="0"/>
        <w:spacing w:after="0"/>
        <w:jc w:val="center"/>
        <w:rPr>
          <w:rFonts w:ascii="Times New Roman" w:eastAsia="Calibri" w:hAnsi="Times New Roman" w:cs="Times New Roman"/>
          <w:b/>
          <w:sz w:val="32"/>
        </w:rPr>
      </w:pPr>
      <w:r w:rsidRPr="00D15CEE">
        <w:rPr>
          <w:rFonts w:ascii="Times New Roman" w:eastAsia="Calibri" w:hAnsi="Times New Roman" w:cs="Times New Roman"/>
          <w:b/>
          <w:sz w:val="28"/>
        </w:rPr>
        <w:t>Дополнительные элементы управления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</w:rPr>
      </w:pP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color w:val="0070C0"/>
          <w:sz w:val="24"/>
          <w:szCs w:val="28"/>
        </w:rPr>
      </w:pPr>
      <w:r w:rsidRPr="00F72C1B">
        <w:rPr>
          <w:rFonts w:ascii="Times New Roman" w:eastAsia="Calibri" w:hAnsi="Times New Roman" w:cs="Times New Roman"/>
          <w:i/>
          <w:noProof/>
          <w:sz w:val="24"/>
          <w:szCs w:val="28"/>
          <w:lang w:eastAsia="ru-RU"/>
        </w:rPr>
        <w:drawing>
          <wp:inline distT="0" distB="0" distL="0" distR="0" wp14:anchorId="5D1CE520" wp14:editId="388EF616">
            <wp:extent cx="950400" cy="216000"/>
            <wp:effectExtent l="0" t="0" r="2540" b="0"/>
            <wp:docPr id="544" name="Рисунок 544" descr="C:\Users\katam\AppData\Local\Microsoft\Windows\INetCache\Content.Word\К списку шкал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katam\AppData\Local\Microsoft\Windows\INetCache\Content.Word\К списку шкал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00" cy="2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>Кнопка «К списку шкал»</w:t>
      </w:r>
      <w:r w:rsidRPr="00F72C1B">
        <w:rPr>
          <w:rFonts w:ascii="Times New Roman" w:eastAsia="Calibri" w:hAnsi="Times New Roman" w:cs="Times New Roman"/>
          <w:sz w:val="24"/>
        </w:rPr>
        <w:t xml:space="preserve"> - при нажатии осуществляет возврат к списку шкал.</w:t>
      </w: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color w:val="0070C0"/>
          <w:sz w:val="24"/>
          <w:szCs w:val="28"/>
        </w:rPr>
      </w:pPr>
    </w:p>
    <w:p w:rsidR="00B029C8" w:rsidRPr="00F72C1B" w:rsidRDefault="00B029C8" w:rsidP="00B029C8">
      <w:pPr>
        <w:autoSpaceDE w:val="0"/>
        <w:autoSpaceDN w:val="0"/>
        <w:adjustRightInd w:val="0"/>
        <w:spacing w:after="0"/>
        <w:jc w:val="both"/>
        <w:rPr>
          <w:rFonts w:ascii="Times New Roman" w:eastAsia="Calibri" w:hAnsi="Times New Roman" w:cs="Times New Roman"/>
          <w:sz w:val="24"/>
          <w:szCs w:val="28"/>
        </w:rPr>
      </w:pPr>
      <w:r>
        <w:rPr>
          <w:noProof/>
          <w:lang w:eastAsia="ru-RU"/>
        </w:rPr>
        <w:drawing>
          <wp:inline distT="0" distB="0" distL="0" distR="0">
            <wp:extent cx="209550" cy="209550"/>
            <wp:effectExtent l="0" t="0" r="0" b="0"/>
            <wp:docPr id="1" name="Рисунок 1" descr="Плю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45" descr="Плю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2C1B">
        <w:rPr>
          <w:rFonts w:ascii="Times New Roman" w:eastAsia="Calibri" w:hAnsi="Times New Roman" w:cs="Times New Roman"/>
          <w:i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b/>
          <w:sz w:val="24"/>
        </w:rPr>
        <w:t xml:space="preserve">Кнопка «+» - </w:t>
      </w:r>
      <w:r w:rsidRPr="00F72C1B">
        <w:rPr>
          <w:rFonts w:ascii="Times New Roman" w:eastAsia="Calibri" w:hAnsi="Times New Roman" w:cs="Times New Roman"/>
          <w:sz w:val="24"/>
        </w:rPr>
        <w:t>д</w:t>
      </w:r>
      <w:r w:rsidRPr="00F72C1B">
        <w:rPr>
          <w:rFonts w:ascii="Times New Roman" w:eastAsia="Calibri" w:hAnsi="Times New Roman" w:cs="Times New Roman"/>
          <w:sz w:val="24"/>
          <w:szCs w:val="28"/>
        </w:rPr>
        <w:t>ля добавления даты, названия шкалы и результата</w:t>
      </w:r>
      <w:r w:rsidRPr="00F72C1B">
        <w:rPr>
          <w:rFonts w:ascii="Times New Roman" w:eastAsia="Calibri" w:hAnsi="Times New Roman" w:cs="Times New Roman"/>
          <w:b/>
          <w:sz w:val="24"/>
        </w:rPr>
        <w:t xml:space="preserve"> </w:t>
      </w:r>
      <w:r w:rsidRPr="00F72C1B">
        <w:rPr>
          <w:rFonts w:ascii="Times New Roman" w:eastAsia="Calibri" w:hAnsi="Times New Roman" w:cs="Times New Roman"/>
          <w:sz w:val="24"/>
        </w:rPr>
        <w:t xml:space="preserve">из строки «Вывод» </w:t>
      </w:r>
      <w:r w:rsidRPr="00F72C1B">
        <w:rPr>
          <w:rFonts w:ascii="Times New Roman" w:eastAsia="Calibri" w:hAnsi="Times New Roman" w:cs="Times New Roman"/>
          <w:sz w:val="24"/>
          <w:szCs w:val="28"/>
        </w:rPr>
        <w:t xml:space="preserve">в раздел «Оценка индивидуального риска повторного сосудистого события» персональной программы индивидуализированной вторичной профилактики повторного сосудистого события пациента, в личный кабинет которого осуществлен вход. Перенесенные данные доступны для редактирования </w:t>
      </w:r>
      <w:r w:rsidRPr="00F72C1B">
        <w:rPr>
          <w:rFonts w:ascii="Times New Roman" w:hAnsi="Times New Roman" w:cs="Times New Roman"/>
          <w:sz w:val="24"/>
          <w:lang w:eastAsia="ru-RU"/>
        </w:rPr>
        <w:t>(добавления, удаления) путем установки курсора и ввода с клавиатуры.</w:t>
      </w:r>
    </w:p>
    <w:p w:rsidR="00DB2E0F" w:rsidRDefault="00DB2E0F"/>
    <w:sectPr w:rsidR="00DB2E0F" w:rsidSect="00B029C8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5AA7"/>
    <w:rsid w:val="00405AA7"/>
    <w:rsid w:val="00B029C8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3DB265-C16A-4661-9501-0E3B7A084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29C8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B029C8"/>
    <w:pPr>
      <w:spacing w:after="0" w:line="240" w:lineRule="auto"/>
    </w:pPr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B029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2022-09-03T08:58:00Z</dcterms:created>
  <dcterms:modified xsi:type="dcterms:W3CDTF">2022-09-03T08:59:00Z</dcterms:modified>
</cp:coreProperties>
</file>