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h2x24ck0xm6" w:id="0"/>
      <w:bookmarkEnd w:id="0"/>
      <w:r w:rsidDel="00000000" w:rsidR="00000000" w:rsidRPr="00000000">
        <w:rPr>
          <w:rtl w:val="0"/>
        </w:rPr>
        <w:t xml:space="preserve">PATTERNLENS: System Contracts v3.0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f49h4wfx6i8y" w:id="1"/>
      <w:bookmarkEnd w:id="1"/>
      <w:r w:rsidDel="00000000" w:rsidR="00000000" w:rsidRPr="00000000">
        <w:rPr>
          <w:rtl w:val="0"/>
        </w:rPr>
        <w:t xml:space="preserve">1. Definicja Wzorców (Patterns)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Deadlock</w:t>
      </w:r>
      <w:r w:rsidDel="00000000" w:rsidR="00000000" w:rsidRPr="00000000">
        <w:rPr>
          <w:rtl w:val="0"/>
        </w:rPr>
        <w:t xml:space="preserve">: Blokada decyzyjna wynikająca z braku zmiennych.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Drift</w:t>
      </w:r>
      <w:r w:rsidDel="00000000" w:rsidR="00000000" w:rsidRPr="00000000">
        <w:rPr>
          <w:rtl w:val="0"/>
        </w:rPr>
        <w:t xml:space="preserve">: Odchylenie implementacji od ADR-004.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Overload</w:t>
      </w:r>
      <w:r w:rsidDel="00000000" w:rsidR="00000000" w:rsidRPr="00000000">
        <w:rPr>
          <w:rtl w:val="0"/>
        </w:rPr>
        <w:t xml:space="preserve">: Przekroczenie limitu kognitywnego Architekta.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ujzv1nasnyzs" w:id="2"/>
      <w:bookmarkEnd w:id="2"/>
      <w:r w:rsidDel="00000000" w:rsidR="00000000" w:rsidRPr="00000000">
        <w:rPr>
          <w:rtl w:val="0"/>
        </w:rPr>
        <w:t xml:space="preserve">2. Standard Odpowiedzi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System nie generuje porad. System mapuje strukturę. Każda wizualizacja musi przejść przez filtr sterylności S11.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