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97" w:rsidRDefault="00EB76BC" w:rsidP="00E229DC">
      <w:pPr>
        <w:jc w:val="center"/>
        <w:rPr>
          <w:b/>
        </w:rPr>
      </w:pPr>
      <w:r w:rsidRPr="00E229DC">
        <w:rPr>
          <w:b/>
        </w:rPr>
        <w:t xml:space="preserve">PUBLICIDAD </w:t>
      </w:r>
      <w:r w:rsidR="00FA3ADD" w:rsidRPr="00E229DC">
        <w:rPr>
          <w:b/>
        </w:rPr>
        <w:t>ELECTORAL, ELECCIONES OCTUBRE 30 DE 2011</w:t>
      </w:r>
    </w:p>
    <w:p w:rsidR="00E229DC" w:rsidRDefault="00E229DC" w:rsidP="00E229DC">
      <w:pPr>
        <w:jc w:val="center"/>
        <w:rPr>
          <w:b/>
        </w:rPr>
      </w:pPr>
      <w:r>
        <w:rPr>
          <w:b/>
        </w:rPr>
        <w:t xml:space="preserve">Reglamentación para publicidad privada no para la entregada por el Estado.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198"/>
      </w:tblGrid>
      <w:tr w:rsidR="00EB76BC" w:rsidTr="00FA3ADD">
        <w:tc>
          <w:tcPr>
            <w:tcW w:w="1384" w:type="dxa"/>
          </w:tcPr>
          <w:p w:rsidR="00EB76BC" w:rsidRPr="00FA3ADD" w:rsidRDefault="00EB76BC" w:rsidP="00FA3ADD">
            <w:pPr>
              <w:jc w:val="center"/>
              <w:rPr>
                <w:b/>
                <w:sz w:val="28"/>
              </w:rPr>
            </w:pPr>
            <w:r w:rsidRPr="00FA3ADD">
              <w:rPr>
                <w:b/>
                <w:sz w:val="28"/>
              </w:rPr>
              <w:t>NORMA</w:t>
            </w:r>
          </w:p>
        </w:tc>
        <w:tc>
          <w:tcPr>
            <w:tcW w:w="11198" w:type="dxa"/>
          </w:tcPr>
          <w:p w:rsidR="00EB76BC" w:rsidRPr="00FA3ADD" w:rsidRDefault="00EB76BC" w:rsidP="00FA3ADD">
            <w:pPr>
              <w:jc w:val="center"/>
              <w:rPr>
                <w:b/>
                <w:sz w:val="28"/>
              </w:rPr>
            </w:pPr>
            <w:r w:rsidRPr="00FA3ADD">
              <w:rPr>
                <w:b/>
                <w:sz w:val="28"/>
              </w:rPr>
              <w:t>CONTENIDO</w:t>
            </w:r>
          </w:p>
        </w:tc>
      </w:tr>
      <w:tr w:rsidR="00EB76BC" w:rsidTr="00FA3ADD">
        <w:tc>
          <w:tcPr>
            <w:tcW w:w="1384" w:type="dxa"/>
          </w:tcPr>
          <w:p w:rsidR="00EB76BC" w:rsidRDefault="00EB76BC">
            <w:r>
              <w:rPr>
                <w:rFonts w:cs="Arial"/>
              </w:rPr>
              <w:t>L</w:t>
            </w:r>
            <w:r w:rsidRPr="005A62FC">
              <w:rPr>
                <w:rFonts w:cs="Arial"/>
              </w:rPr>
              <w:t>ey 130 de 1994</w:t>
            </w:r>
          </w:p>
        </w:tc>
        <w:tc>
          <w:tcPr>
            <w:tcW w:w="11198" w:type="dxa"/>
          </w:tcPr>
          <w:p w:rsidR="00EB76BC" w:rsidRDefault="00EB76BC" w:rsidP="00EB76BC">
            <w:pPr>
              <w:rPr>
                <w:rFonts w:cs="Arial"/>
                <w:iCs/>
              </w:rPr>
            </w:pPr>
            <w:r>
              <w:rPr>
                <w:rFonts w:cs="Arial"/>
              </w:rPr>
              <w:t>L</w:t>
            </w:r>
            <w:r w:rsidRPr="005A62FC">
              <w:rPr>
                <w:rFonts w:cs="Arial"/>
              </w:rPr>
              <w:t xml:space="preserve">a propaganda electoral debe entenderse como </w:t>
            </w:r>
            <w:r w:rsidRPr="000E2F37">
              <w:rPr>
                <w:rFonts w:cs="Arial"/>
                <w:i/>
              </w:rPr>
              <w:t xml:space="preserve">“... </w:t>
            </w:r>
            <w:r w:rsidRPr="000E2F37">
              <w:rPr>
                <w:rFonts w:cs="Arial"/>
                <w:i/>
                <w:iCs/>
              </w:rPr>
              <w:t>la que realicen los partidos, los movimientos políticos y los candidatos a cargos de elección popular y las personas que los apoyen, con el fin de obtener apoyo electoral</w:t>
            </w:r>
            <w:r w:rsidRPr="005A62FC">
              <w:rPr>
                <w:rFonts w:cs="Arial"/>
                <w:iCs/>
              </w:rPr>
              <w:t>”.</w:t>
            </w:r>
          </w:p>
          <w:p w:rsidR="00EB76BC" w:rsidRDefault="00FA3ADD" w:rsidP="00FA3ADD">
            <w:r>
              <w:rPr>
                <w:rFonts w:cs="Arial"/>
              </w:rPr>
              <w:t>L</w:t>
            </w:r>
            <w:r w:rsidR="00EB76BC" w:rsidRPr="005A62FC">
              <w:rPr>
                <w:rFonts w:cs="Arial"/>
              </w:rPr>
              <w:t xml:space="preserve">a Propaganda electoral </w:t>
            </w:r>
            <w:r w:rsidR="00EB76BC" w:rsidRPr="00FA3ADD">
              <w:rPr>
                <w:rFonts w:cs="Arial"/>
                <w:b/>
              </w:rPr>
              <w:t>únicamente podrá realizarse durante los tres (3) meses anteriores a la fecha de las elecciones</w:t>
            </w:r>
            <w:r w:rsidR="00EB76BC" w:rsidRPr="005A62FC">
              <w:rPr>
                <w:rFonts w:cs="Arial"/>
              </w:rPr>
              <w:t>.</w:t>
            </w:r>
          </w:p>
        </w:tc>
      </w:tr>
      <w:tr w:rsidR="00EB76BC" w:rsidTr="00FA3ADD">
        <w:tc>
          <w:tcPr>
            <w:tcW w:w="1384" w:type="dxa"/>
          </w:tcPr>
          <w:p w:rsidR="00EB76BC" w:rsidRDefault="00EB76BC">
            <w:r w:rsidRPr="005A62FC">
              <w:rPr>
                <w:rFonts w:cs="Arial"/>
              </w:rPr>
              <w:t>Ley 130 de 1994</w:t>
            </w:r>
            <w:r>
              <w:rPr>
                <w:rFonts w:cs="Arial"/>
              </w:rPr>
              <w:t xml:space="preserve">, </w:t>
            </w:r>
            <w:r>
              <w:rPr>
                <w:rFonts w:cs="Arial"/>
              </w:rPr>
              <w:t>Artículo 28</w:t>
            </w:r>
          </w:p>
        </w:tc>
        <w:tc>
          <w:tcPr>
            <w:tcW w:w="11198" w:type="dxa"/>
          </w:tcPr>
          <w:p w:rsidR="00EB76BC" w:rsidRDefault="00EB76BC" w:rsidP="00EB76BC">
            <w:pPr>
              <w:ind w:right="56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“</w:t>
            </w:r>
            <w:r w:rsidRPr="000E2F37">
              <w:rPr>
                <w:rFonts w:cs="Arial"/>
                <w:i/>
                <w:iCs/>
              </w:rPr>
              <w:t>Uso de servicio de la radio privada y los periódicos. Los concesionarios para la prestación de servicio de radiodifusión sonora y los periódicos que acepten publicidad política pagada, la harán en condiciones de igualdad a todos los partidos, movimientos y candidatos que lo soliciten.</w:t>
            </w:r>
          </w:p>
          <w:p w:rsidR="00EB76BC" w:rsidRPr="005A62FC" w:rsidRDefault="00EB76BC" w:rsidP="00EB76BC">
            <w:pPr>
              <w:rPr>
                <w:rFonts w:cs="Arial"/>
              </w:rPr>
            </w:pPr>
            <w:r w:rsidRPr="000E2F37">
              <w:rPr>
                <w:rFonts w:cs="Arial"/>
                <w:i/>
                <w:iCs/>
              </w:rPr>
              <w:t>Los concesionarios de las frecuencias de radio durante los sesenta (60) días anteriores al correspondiente debate electoral, están en la obligación de pasar propaganda política a una tarifa inferior a la mitad de la comercial que rija en los seis (6) meses anteriores a la fecha del mismo debate</w:t>
            </w:r>
            <w:r>
              <w:rPr>
                <w:rFonts w:cs="Arial"/>
                <w:i/>
                <w:iCs/>
              </w:rPr>
              <w:t>”</w:t>
            </w:r>
            <w:r w:rsidRPr="000E2F37">
              <w:rPr>
                <w:rFonts w:cs="Arial"/>
                <w:i/>
                <w:iCs/>
              </w:rPr>
              <w:t>.</w:t>
            </w:r>
          </w:p>
        </w:tc>
      </w:tr>
      <w:tr w:rsidR="00EB76BC" w:rsidTr="00FA3ADD">
        <w:tc>
          <w:tcPr>
            <w:tcW w:w="1384" w:type="dxa"/>
          </w:tcPr>
          <w:p w:rsidR="00EB76BC" w:rsidRDefault="00EB76BC">
            <w:r w:rsidRPr="005A62FC">
              <w:rPr>
                <w:rFonts w:cs="Arial"/>
              </w:rPr>
              <w:t>Ley 130 de 1994</w:t>
            </w:r>
            <w:r>
              <w:rPr>
                <w:rFonts w:cs="Arial"/>
              </w:rPr>
              <w:t xml:space="preserve">, </w:t>
            </w:r>
            <w:r w:rsidRPr="005A62FC">
              <w:rPr>
                <w:rFonts w:cs="Arial"/>
              </w:rPr>
              <w:t>Artículo 29</w:t>
            </w:r>
          </w:p>
        </w:tc>
        <w:tc>
          <w:tcPr>
            <w:tcW w:w="11198" w:type="dxa"/>
          </w:tcPr>
          <w:p w:rsidR="00EB76BC" w:rsidRDefault="00EB76BC" w:rsidP="00EB76BC">
            <w:pPr>
              <w:ind w:right="56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“</w:t>
            </w:r>
            <w:r w:rsidRPr="000E2F37">
              <w:rPr>
                <w:rFonts w:cs="Arial"/>
                <w:i/>
                <w:iCs/>
              </w:rPr>
              <w:t>Corresponde a los Alcaldes y los Registradores Municipales regular la forma, característica, lugares y condiciones para la fijación de carteles, pasacalles, afiches y vallas destinadas a difundir propaganda electoral, a fin de garantizar el acceso equitativo de los partidos y movimientos, agrupaciones y candidatos a la utilización de estos medios, en armonía con el derecho de la comunidad a disfrutar del uso del espacio público y a la preservación de la estética. También podrán, con los mismos fines, limitar el número de vallas, afiches y elementos publicitarios destinados a difundir propaganda electoral.</w:t>
            </w:r>
          </w:p>
          <w:p w:rsidR="00EB76BC" w:rsidRPr="005A62FC" w:rsidRDefault="00EB76BC" w:rsidP="00EB76BC">
            <w:pPr>
              <w:ind w:right="567"/>
              <w:rPr>
                <w:rFonts w:cs="Arial"/>
              </w:rPr>
            </w:pPr>
            <w:r w:rsidRPr="000E2F37">
              <w:rPr>
                <w:rFonts w:cs="Arial"/>
                <w:i/>
              </w:rPr>
              <w:t>Los alcaldes señalarán los sitios públicos autorizados para fijar esta clase de propaganda, previa consulta con un comité integrado por representantes de los diferentes partidos, movimientos o grupos políticos que participen en la elección a fin de asegurar una equitativa distribución</w:t>
            </w:r>
            <w:r>
              <w:rPr>
                <w:rFonts w:cs="Arial"/>
                <w:i/>
              </w:rPr>
              <w:t>”</w:t>
            </w:r>
            <w:r w:rsidRPr="000E2F37">
              <w:rPr>
                <w:rFonts w:cs="Arial"/>
                <w:i/>
              </w:rPr>
              <w:t>.</w:t>
            </w:r>
          </w:p>
        </w:tc>
      </w:tr>
      <w:tr w:rsidR="00FA3ADD" w:rsidTr="00FA3ADD">
        <w:tc>
          <w:tcPr>
            <w:tcW w:w="1384" w:type="dxa"/>
          </w:tcPr>
          <w:p w:rsidR="00FA3ADD" w:rsidRDefault="00FA3ADD">
            <w:r>
              <w:t xml:space="preserve">Resolución </w:t>
            </w:r>
            <w:r>
              <w:t>0022</w:t>
            </w:r>
            <w:r>
              <w:t xml:space="preserve"> de</w:t>
            </w:r>
            <w:r>
              <w:t xml:space="preserve"> </w:t>
            </w:r>
            <w:commentRangeStart w:id="0"/>
            <w:r>
              <w:t>2011</w:t>
            </w:r>
            <w:commentRangeEnd w:id="0"/>
            <w:r w:rsidR="00E229DC">
              <w:rPr>
                <w:rStyle w:val="Refdecomentario"/>
              </w:rPr>
              <w:commentReference w:id="0"/>
            </w:r>
            <w:r>
              <w:t xml:space="preserve"> Artículo 1</w:t>
            </w:r>
          </w:p>
        </w:tc>
        <w:tc>
          <w:tcPr>
            <w:tcW w:w="11198" w:type="dxa"/>
          </w:tcPr>
          <w:p w:rsidR="00FA3ADD" w:rsidRDefault="00FA3ADD" w:rsidP="00FA3ADD">
            <w:pPr>
              <w:rPr>
                <w:rFonts w:cs="Arial"/>
              </w:rPr>
            </w:pPr>
            <w:r>
              <w:rPr>
                <w:rFonts w:cs="Arial"/>
              </w:rPr>
              <w:t>Los partidos y movimientos p</w:t>
            </w:r>
            <w:r w:rsidRPr="005A62FC">
              <w:rPr>
                <w:rFonts w:cs="Arial"/>
              </w:rPr>
              <w:t>olíticos con perso</w:t>
            </w:r>
            <w:r>
              <w:rPr>
                <w:rFonts w:cs="Arial"/>
              </w:rPr>
              <w:t>nería jurídica, los movimientos s</w:t>
            </w:r>
            <w:r w:rsidRPr="005A62FC">
              <w:rPr>
                <w:rFonts w:cs="Arial"/>
              </w:rPr>
              <w:t xml:space="preserve">ociales y </w:t>
            </w:r>
            <w:r>
              <w:rPr>
                <w:rFonts w:cs="Arial"/>
              </w:rPr>
              <w:t>grupos s</w:t>
            </w:r>
            <w:r w:rsidRPr="005A62FC">
              <w:rPr>
                <w:rFonts w:cs="Arial"/>
              </w:rPr>
              <w:t xml:space="preserve">ignificativos de </w:t>
            </w:r>
            <w:r>
              <w:rPr>
                <w:rFonts w:cs="Arial"/>
              </w:rPr>
              <w:t>c</w:t>
            </w:r>
            <w:r w:rsidRPr="005A62FC">
              <w:rPr>
                <w:rFonts w:cs="Arial"/>
              </w:rPr>
              <w:t xml:space="preserve">iudadanos, tienen derecho </w:t>
            </w:r>
            <w:r>
              <w:rPr>
                <w:rFonts w:cs="Arial"/>
              </w:rPr>
              <w:t xml:space="preserve">a difundir </w:t>
            </w:r>
            <w:r w:rsidRPr="005A62FC">
              <w:rPr>
                <w:rFonts w:cs="Arial"/>
              </w:rPr>
              <w:t xml:space="preserve">en las elecciones </w:t>
            </w:r>
            <w:r>
              <w:rPr>
                <w:rFonts w:cs="Arial"/>
              </w:rPr>
              <w:t>para gobernadores, diputados, alcaldes, concejales y juntas administradoras l</w:t>
            </w:r>
            <w:r w:rsidRPr="005A62FC">
              <w:rPr>
                <w:rFonts w:cs="Arial"/>
              </w:rPr>
              <w:t xml:space="preserve">ocales </w:t>
            </w:r>
            <w:r>
              <w:rPr>
                <w:rFonts w:cs="Arial"/>
              </w:rPr>
              <w:t>que se lleven a cabo</w:t>
            </w:r>
            <w:r w:rsidRPr="005A62FC">
              <w:rPr>
                <w:rFonts w:cs="Arial"/>
              </w:rPr>
              <w:t xml:space="preserve"> el domingo 30 de octubre de 2011, al siguiente número de cuñas radiales:</w:t>
            </w:r>
          </w:p>
          <w:p w:rsidR="00FA3ADD" w:rsidRPr="00FA3ADD" w:rsidRDefault="00FA3ADD" w:rsidP="00FA3ADD">
            <w:pPr>
              <w:pStyle w:val="Prrafodelista"/>
              <w:numPr>
                <w:ilvl w:val="0"/>
                <w:numId w:val="1"/>
              </w:numPr>
              <w:outlineLvl w:val="1"/>
              <w:rPr>
                <w:rFonts w:cs="Arial"/>
                <w:b/>
                <w:bCs/>
              </w:rPr>
            </w:pPr>
            <w:r w:rsidRPr="00FA3ADD">
              <w:rPr>
                <w:rFonts w:cs="Arial"/>
              </w:rPr>
              <w:t>M</w:t>
            </w:r>
            <w:r w:rsidRPr="00FA3ADD">
              <w:rPr>
                <w:rFonts w:cs="Arial"/>
              </w:rPr>
              <w:t>unicipios de sexta, quinta y cuarta categoría, hasta treinta (30) cuñas radiales diarias.</w:t>
            </w:r>
          </w:p>
          <w:p w:rsidR="00FA3ADD" w:rsidRPr="00FA3ADD" w:rsidRDefault="00FA3ADD" w:rsidP="00FA3ADD">
            <w:pPr>
              <w:pStyle w:val="Prrafodelista"/>
              <w:numPr>
                <w:ilvl w:val="0"/>
                <w:numId w:val="1"/>
              </w:numPr>
              <w:outlineLvl w:val="1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>unicipios de tercera y segunda categoría, hasta cuarenta (40) cuñas radiales diarias.</w:t>
            </w:r>
          </w:p>
          <w:p w:rsidR="00FA3ADD" w:rsidRPr="00FA3ADD" w:rsidRDefault="00FA3ADD" w:rsidP="00FA3ADD">
            <w:pPr>
              <w:pStyle w:val="Prrafodelista"/>
              <w:numPr>
                <w:ilvl w:val="0"/>
                <w:numId w:val="1"/>
              </w:numPr>
              <w:outlineLvl w:val="1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>unicipios de primera categoría hasta cincuenta (50) cuñas radiales diarias.</w:t>
            </w:r>
          </w:p>
          <w:p w:rsidR="00FA3ADD" w:rsidRPr="00FA3ADD" w:rsidRDefault="00FA3ADD" w:rsidP="00FA3ADD">
            <w:pPr>
              <w:pStyle w:val="Prrafodelista"/>
              <w:numPr>
                <w:ilvl w:val="0"/>
                <w:numId w:val="1"/>
              </w:numPr>
              <w:outlineLvl w:val="1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>unicipios de categoría especial hasta sesenta (60) cuñas radiales diarias.</w:t>
            </w:r>
          </w:p>
          <w:p w:rsidR="00FA3ADD" w:rsidRPr="00FA3ADD" w:rsidRDefault="00FA3ADD" w:rsidP="00FA3ADD">
            <w:pPr>
              <w:pStyle w:val="Prrafodelista"/>
              <w:numPr>
                <w:ilvl w:val="0"/>
                <w:numId w:val="1"/>
              </w:numPr>
              <w:outlineLvl w:val="1"/>
              <w:rPr>
                <w:rFonts w:cs="Arial"/>
                <w:b/>
                <w:bCs/>
              </w:rPr>
            </w:pPr>
            <w:r w:rsidRPr="00FA3ADD">
              <w:rPr>
                <w:rFonts w:cs="Arial"/>
              </w:rPr>
              <w:t>Distrito Capital, hasta setenta (70) cuñas radiales diarias.</w:t>
            </w:r>
          </w:p>
          <w:p w:rsidR="00FA3ADD" w:rsidRPr="00FA3ADD" w:rsidRDefault="00FA3ADD" w:rsidP="00FA3ADD">
            <w:pPr>
              <w:rPr>
                <w:rFonts w:cs="Arial"/>
              </w:rPr>
            </w:pPr>
            <w:r w:rsidRPr="005A62FC">
              <w:rPr>
                <w:rFonts w:cs="Arial"/>
                <w:b/>
                <w:bCs/>
              </w:rPr>
              <w:t>P</w:t>
            </w:r>
            <w:r>
              <w:rPr>
                <w:rFonts w:cs="Arial"/>
                <w:b/>
                <w:bCs/>
              </w:rPr>
              <w:t>arágrafo 1</w:t>
            </w:r>
            <w:r w:rsidRPr="005A62FC">
              <w:rPr>
                <w:rFonts w:cs="Arial"/>
                <w:b/>
                <w:bCs/>
              </w:rPr>
              <w:t xml:space="preserve">: </w:t>
            </w:r>
            <w:r w:rsidRPr="005A62FC">
              <w:rPr>
                <w:rFonts w:cs="Arial"/>
              </w:rPr>
              <w:t xml:space="preserve">Los concesionarios de las frecuencias de radio que acepten publicidad durante los sesenta (60) días </w:t>
            </w:r>
            <w:r w:rsidRPr="005A62FC">
              <w:rPr>
                <w:rFonts w:cs="Arial"/>
              </w:rPr>
              <w:lastRenderedPageBreak/>
              <w:t xml:space="preserve">anteriores al correspondiente debate electoral, están en la obligación de emitir propaganda política a </w:t>
            </w:r>
            <w:commentRangeStart w:id="2"/>
            <w:r w:rsidRPr="00FA3ADD">
              <w:rPr>
                <w:rFonts w:cs="Arial"/>
                <w:b/>
              </w:rPr>
              <w:t>una tarifa inferior a la mitad de la comercial que rija en los seis (6) meses anteriores a la fecha del mismo debate</w:t>
            </w:r>
            <w:commentRangeEnd w:id="2"/>
            <w:r>
              <w:rPr>
                <w:rStyle w:val="Refdecomentario"/>
              </w:rPr>
              <w:commentReference w:id="2"/>
            </w:r>
            <w:r w:rsidRPr="005A62FC">
              <w:rPr>
                <w:rFonts w:cs="Arial"/>
              </w:rPr>
              <w:t>. La duración de cada c</w:t>
            </w:r>
            <w:r>
              <w:rPr>
                <w:rFonts w:cs="Arial"/>
              </w:rPr>
              <w:t>uña será de máximo 30 segundos.</w:t>
            </w:r>
          </w:p>
        </w:tc>
      </w:tr>
      <w:tr w:rsidR="00FA3ADD" w:rsidTr="00FA3ADD">
        <w:tc>
          <w:tcPr>
            <w:tcW w:w="1384" w:type="dxa"/>
          </w:tcPr>
          <w:p w:rsidR="00FA3ADD" w:rsidRDefault="00FA3ADD">
            <w:r>
              <w:lastRenderedPageBreak/>
              <w:t>Artículo 2</w:t>
            </w:r>
          </w:p>
        </w:tc>
        <w:tc>
          <w:tcPr>
            <w:tcW w:w="11198" w:type="dxa"/>
          </w:tcPr>
          <w:p w:rsidR="00FA3ADD" w:rsidRDefault="00FA3ADD" w:rsidP="00FA3ADD">
            <w:pPr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Pr="005A62FC">
              <w:rPr>
                <w:rFonts w:cs="Arial"/>
              </w:rPr>
              <w:t xml:space="preserve">úmero de publicaciones escritas a que tienen derecho los </w:t>
            </w:r>
            <w:r>
              <w:rPr>
                <w:rFonts w:cs="Arial"/>
              </w:rPr>
              <w:t>partidos y movimientos p</w:t>
            </w:r>
            <w:r w:rsidRPr="005A62FC">
              <w:rPr>
                <w:rFonts w:cs="Arial"/>
              </w:rPr>
              <w:t xml:space="preserve">olíticos: </w:t>
            </w:r>
          </w:p>
          <w:p w:rsidR="00FA3ADD" w:rsidRDefault="00FA3ADD" w:rsidP="00FA3ADD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 xml:space="preserve">unicipios de sexta, quinta y cuarta categorías, tendrán derecho  a cuatro (4) avisos hasta del tamaño de una página por cada edición. </w:t>
            </w:r>
          </w:p>
          <w:p w:rsidR="00FA3ADD" w:rsidRDefault="00FA3ADD" w:rsidP="00FA3ADD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 xml:space="preserve">unicipios de tercera y segunda categorías, tendrán derecho  a seis (6) avisos hasta del tamaño de una página por cada edición. </w:t>
            </w:r>
          </w:p>
          <w:p w:rsidR="00FA3ADD" w:rsidRDefault="00FA3ADD" w:rsidP="00FA3ADD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>unicipios de primera categoría tendrán derecho a ocho (8) avisos hasta del tamaño de una página por cada edición.</w:t>
            </w:r>
          </w:p>
          <w:p w:rsidR="00FA3ADD" w:rsidRDefault="00FA3ADD" w:rsidP="00FA3ADD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A3ADD">
              <w:rPr>
                <w:rFonts w:cs="Arial"/>
              </w:rPr>
              <w:t>unicipios de categoría especial tendrán derecho a diez (10) avisos hasta del tamaño de una página por cada edición.</w:t>
            </w:r>
          </w:p>
          <w:p w:rsidR="00FA3ADD" w:rsidRPr="00FA3ADD" w:rsidRDefault="00FA3ADD" w:rsidP="00FA3ADD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FA3ADD">
              <w:rPr>
                <w:rFonts w:cs="Arial"/>
              </w:rPr>
              <w:t>Distrito Capital, tendrán derecho a doce (12) avisos hasta del tamaño de una página por cada edición.</w:t>
            </w:r>
          </w:p>
        </w:tc>
      </w:tr>
      <w:tr w:rsidR="00FA3ADD" w:rsidTr="00FA3ADD">
        <w:tc>
          <w:tcPr>
            <w:tcW w:w="1384" w:type="dxa"/>
          </w:tcPr>
          <w:p w:rsidR="00FA3ADD" w:rsidRDefault="00E229DC">
            <w:r>
              <w:t>Artículo 3</w:t>
            </w:r>
          </w:p>
        </w:tc>
        <w:tc>
          <w:tcPr>
            <w:tcW w:w="11198" w:type="dxa"/>
          </w:tcPr>
          <w:p w:rsidR="00FA3ADD" w:rsidRDefault="00E229DC" w:rsidP="00FA3ADD">
            <w:pPr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="00FA3ADD" w:rsidRPr="005A62FC">
              <w:rPr>
                <w:rFonts w:cs="Arial"/>
              </w:rPr>
              <w:t>úmero de vallas publicit</w:t>
            </w:r>
            <w:r w:rsidR="00FA3ADD">
              <w:rPr>
                <w:rFonts w:cs="Arial"/>
              </w:rPr>
              <w:t>arias a que tienen derecho</w:t>
            </w:r>
            <w:r>
              <w:rPr>
                <w:rFonts w:cs="Arial"/>
              </w:rPr>
              <w:t>:</w:t>
            </w:r>
          </w:p>
          <w:p w:rsidR="00E229DC" w:rsidRDefault="00E229DC" w:rsidP="00E229DC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E229DC">
              <w:rPr>
                <w:rFonts w:cs="Arial"/>
              </w:rPr>
              <w:t>M</w:t>
            </w:r>
            <w:r w:rsidR="00FA3ADD" w:rsidRPr="00E229DC">
              <w:rPr>
                <w:rFonts w:cs="Arial"/>
              </w:rPr>
              <w:t>unicipios de sexta, quinta y cuarta categorías, tendrán derecho hasta ocho (8) vallas.</w:t>
            </w:r>
          </w:p>
          <w:p w:rsidR="00E229DC" w:rsidRDefault="00E229DC" w:rsidP="00E229DC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FA3ADD" w:rsidRPr="00E229DC">
              <w:rPr>
                <w:rFonts w:cs="Arial"/>
              </w:rPr>
              <w:t>unicipios de tercera y segunda categorías, inclusive, tendrán derecho  hasta doce (12) vallas.</w:t>
            </w:r>
          </w:p>
          <w:p w:rsidR="00E229DC" w:rsidRDefault="00E229DC" w:rsidP="00E229DC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FA3ADD" w:rsidRPr="00E229DC">
              <w:rPr>
                <w:rFonts w:cs="Arial"/>
              </w:rPr>
              <w:t xml:space="preserve">unicipios de primera categoría tendrán derecho hasta catorce (14) vallas. </w:t>
            </w:r>
          </w:p>
          <w:p w:rsidR="00E229DC" w:rsidRDefault="00E229DC" w:rsidP="00E229DC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FA3ADD" w:rsidRPr="00E229DC">
              <w:rPr>
                <w:rFonts w:cs="Arial"/>
              </w:rPr>
              <w:t xml:space="preserve">unicipios de categoría especial tendrán derecho hasta veinte (20) vallas. </w:t>
            </w:r>
          </w:p>
          <w:p w:rsidR="00FA3ADD" w:rsidRPr="00E229DC" w:rsidRDefault="00FA3ADD" w:rsidP="00E229DC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E229DC">
              <w:rPr>
                <w:rFonts w:cs="Arial"/>
              </w:rPr>
              <w:t xml:space="preserve">Distrito Capital, tendrán derecho hasta treinta (30) vallas. </w:t>
            </w:r>
          </w:p>
          <w:p w:rsidR="00FA3ADD" w:rsidRDefault="00FA3ADD"/>
        </w:tc>
      </w:tr>
      <w:tr w:rsidR="00FA3ADD" w:rsidTr="00FA3ADD">
        <w:tc>
          <w:tcPr>
            <w:tcW w:w="1384" w:type="dxa"/>
          </w:tcPr>
          <w:p w:rsidR="00FA3ADD" w:rsidRDefault="00E229DC">
            <w:r>
              <w:t>Artículo 6</w:t>
            </w:r>
          </w:p>
        </w:tc>
        <w:tc>
          <w:tcPr>
            <w:tcW w:w="11198" w:type="dxa"/>
          </w:tcPr>
          <w:p w:rsidR="00FA3ADD" w:rsidRDefault="00FA3ADD" w:rsidP="00E229DC">
            <w:r>
              <w:rPr>
                <w:rFonts w:cs="Arial"/>
              </w:rPr>
              <w:t>Las personas que apoyen candidatos y pretendan hacer en su favor propaganda electoral, deberán coordinar con las campañas a efectos de respetar los límites a las cantidades consignadas en esta Resolución y para incluir el valor de la misma como donación en los ingresos y gastos de las campañas.</w:t>
            </w:r>
          </w:p>
        </w:tc>
      </w:tr>
      <w:tr w:rsidR="00E229DC" w:rsidTr="00FA3ADD">
        <w:tc>
          <w:tcPr>
            <w:tcW w:w="1384" w:type="dxa"/>
          </w:tcPr>
          <w:p w:rsidR="00E229DC" w:rsidRDefault="00E229DC">
            <w:r>
              <w:t>Artículo 7</w:t>
            </w:r>
          </w:p>
        </w:tc>
        <w:tc>
          <w:tcPr>
            <w:tcW w:w="11198" w:type="dxa"/>
          </w:tcPr>
          <w:p w:rsidR="00E229DC" w:rsidRDefault="00E229DC" w:rsidP="00FA3ADD">
            <w:pPr>
              <w:rPr>
                <w:rFonts w:cs="Arial"/>
              </w:rPr>
            </w:pPr>
            <w:r w:rsidRPr="005A62FC">
              <w:rPr>
                <w:rFonts w:cs="Arial"/>
              </w:rPr>
              <w:t>El Consejo Nacional Electoral investigar</w:t>
            </w:r>
            <w:r>
              <w:rPr>
                <w:rFonts w:cs="Arial"/>
              </w:rPr>
              <w:t>á</w:t>
            </w:r>
            <w:r w:rsidRPr="005A62FC">
              <w:rPr>
                <w:rFonts w:cs="Arial"/>
              </w:rPr>
              <w:t xml:space="preserve"> y sancionar</w:t>
            </w:r>
            <w:r>
              <w:rPr>
                <w:rFonts w:cs="Arial"/>
              </w:rPr>
              <w:t>á</w:t>
            </w:r>
            <w:r w:rsidRPr="005A62FC">
              <w:rPr>
                <w:rFonts w:cs="Arial"/>
              </w:rPr>
              <w:t xml:space="preserve"> a quienes infrinjan las normas sobre propaganda electoral, de acuerdo con lo dispuesto en el artículo 39 de la Ley 130 de 1994. </w:t>
            </w:r>
            <w:commentRangeStart w:id="3"/>
            <w:r w:rsidRPr="00E229DC">
              <w:rPr>
                <w:rFonts w:cs="Arial"/>
                <w:b/>
              </w:rPr>
              <w:t>Los registradores municipales, distritales, delegados departamentales del Registrador del Estado Civil y los alcaldes municipales y distritales, informarán al Consejo Nacional Electoral sobre las posibles infracciones a la presente Resolución de que tengan conocimiento, y transmitirán a esta Corporación todas las denuncia</w:t>
            </w:r>
            <w:r w:rsidRPr="00E229DC">
              <w:rPr>
                <w:rFonts w:cs="Arial"/>
                <w:b/>
              </w:rPr>
              <w:t>s que reciban de la ciudadanía</w:t>
            </w:r>
            <w:commentRangeEnd w:id="3"/>
            <w:r>
              <w:rPr>
                <w:rStyle w:val="Refdecomentario"/>
              </w:rPr>
              <w:commentReference w:id="3"/>
            </w:r>
            <w:r>
              <w:rPr>
                <w:rFonts w:cs="Arial"/>
              </w:rPr>
              <w:t>.</w:t>
            </w:r>
          </w:p>
        </w:tc>
      </w:tr>
    </w:tbl>
    <w:p w:rsidR="00EB76BC" w:rsidRDefault="00EB76BC"/>
    <w:sectPr w:rsidR="00EB76BC" w:rsidSect="00FA3A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dra Martinez" w:date="2012-10-03T17:02:00Z" w:initials="SM">
    <w:p w:rsidR="00E229DC" w:rsidRDefault="00E229DC">
      <w:pPr>
        <w:pStyle w:val="Textocomentario"/>
      </w:pPr>
      <w:r>
        <w:rPr>
          <w:rStyle w:val="Refdecomentario"/>
        </w:rPr>
        <w:annotationRef/>
      </w:r>
      <w:proofErr w:type="spellStart"/>
      <w:r>
        <w:t>Tati</w:t>
      </w:r>
      <w:proofErr w:type="spellEnd"/>
      <w:r>
        <w:t xml:space="preserve"> se podría tener el link a esta resolución… esta en Cuentas Claras o llevar unas copias impresas… será</w:t>
      </w:r>
      <w:bookmarkStart w:id="1" w:name="_GoBack"/>
      <w:bookmarkEnd w:id="1"/>
      <w:r>
        <w:t xml:space="preserve"> que ellos miran eso??</w:t>
      </w:r>
    </w:p>
  </w:comment>
  <w:comment w:id="2" w:author="Sandra Martinez" w:date="2012-10-03T16:47:00Z" w:initials="SM">
    <w:p w:rsidR="00FA3ADD" w:rsidRDefault="00FA3ADD">
      <w:pPr>
        <w:pStyle w:val="Textocomentario"/>
      </w:pPr>
      <w:r>
        <w:rPr>
          <w:rStyle w:val="Refdecomentario"/>
        </w:rPr>
        <w:annotationRef/>
      </w:r>
      <w:r>
        <w:t>Esto podría ayudarnos a establecer un valor aproximado para las cuñas radiales</w:t>
      </w:r>
    </w:p>
  </w:comment>
  <w:comment w:id="3" w:author="Sandra Martinez" w:date="2012-10-03T16:57:00Z" w:initials="SM">
    <w:p w:rsidR="00E229DC" w:rsidRDefault="00E229DC">
      <w:pPr>
        <w:pStyle w:val="Textocomentario"/>
      </w:pPr>
      <w:r>
        <w:rPr>
          <w:rStyle w:val="Refdecomentario"/>
        </w:rPr>
        <w:annotationRef/>
      </w:r>
      <w:r>
        <w:t xml:space="preserve">Se podría pensar en un perfil para estos actores en las elecciones locales??? O mejor dicho animarlos a que ellos también use el aplicativo para informar al CNE sobre posibles irregularidades.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2A07"/>
    <w:multiLevelType w:val="hybridMultilevel"/>
    <w:tmpl w:val="12E4F97E"/>
    <w:lvl w:ilvl="0" w:tplc="014893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BC"/>
    <w:rsid w:val="004C2097"/>
    <w:rsid w:val="00811F1E"/>
    <w:rsid w:val="00E229DC"/>
    <w:rsid w:val="00EB76BC"/>
    <w:rsid w:val="00F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7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3AD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A3A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A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A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A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A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7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3AD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A3A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A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A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A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A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Sandra Martinez</cp:lastModifiedBy>
  <cp:revision>1</cp:revision>
  <dcterms:created xsi:type="dcterms:W3CDTF">2012-10-03T21:33:00Z</dcterms:created>
  <dcterms:modified xsi:type="dcterms:W3CDTF">2012-10-03T22:03:00Z</dcterms:modified>
</cp:coreProperties>
</file>