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47e7b98c6e4423" /><Relationship Type="http://schemas.openxmlformats.org/package/2006/relationships/metadata/core-properties" Target="/package/services/metadata/core-properties/e9f1267e66d94a9c84b816a7a0a70860.psmdcp" Id="R71de36e37b0246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Design review: library screen</w:t>
      </w:r>
    </w:p>
    <w:p>
      <w:pPr>
        <w:pStyle w:val="Subtitle"/>
      </w:pPr>
      <w:r>
        <w:t xml:space="preserve">Meeting minutes · Monday 5 October 2026, 4:00 PM · 1 h 10 min · Zoom</w:t>
      </w:r>
    </w:p>
    <w:p>
      <w:pPr>
        <w:pStyle w:val="Heading1"/>
      </w:pPr>
      <w:r>
        <w:t xml:space="preserve">Executive summary</w:t>
      </w:r>
    </w:p>
    <w:p>
      <w:pPr>
        <w:pStyle w:val="Normal"/>
      </w:pPr>
      <w:r>
        <w:rPr>
          <w:sz w:val="25"/>
          <w:szCs w:val="25"/>
        </w:rPr>
        <w:t xml:space="preserve">The team approved the library layout for build with two changes: rows stay at 68 px with status pills shown only for stages that have run, and the processing card hides whenever a filter or search is active.</w:t>
      </w:r>
      <w:r>
        <w:rPr>
          <w:rStyle w:val="FootnoteReference"/>
        </w:rPr>
        <w:footnoteReference w:id="1"/>
      </w:r>
      <w:r>
        <w:rPr>
          <w:sz w:val="25"/>
          <w:szCs w:val="25"/>
        </w:rPr>
        <w:t xml:space="preserve"> The dark theme will ship with the first version rather than following later.</w:t>
      </w:r>
      <w:r>
        <w:rPr>
          <w:rStyle w:val="FootnoteReference"/>
        </w:rPr>
        <w:footnoteReference w:id="2"/>
      </w:r>
      <w:r>
        <w:rPr>
          <w:sz w:val="25"/>
          <w:szCs w:val="25"/>
        </w:rPr>
        <w:t xml:space="preserve"> The empty state needs copy; Sam owns it.</w:t>
      </w:r>
    </w:p>
    <w:tbl>
      <w:tblPr>
        <w:tblW w:w="936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false" w:lastRow="false" w:firstColumn="false" w:lastColumn="false" w:noHBand="true" w:noVBand="true"/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210" w:type="dxa"/>
            </w:tcMar>
          </w:tcPr>
          <w:p>
            <w:pPr>
              <w:pStyle w:val="Heading1"/>
            </w:pPr>
            <w:r>
              <w:t xml:space="preserve">Meeting purpose</w:t>
            </w:r>
          </w:p>
          <w:p>
            <w:pPr>
              <w:pStyle w:val="Normal"/>
            </w:pPr>
            <w:r>
              <w:t xml:space="preserve">Agree the library layout before build starts.</w:t>
            </w:r>
          </w:p>
        </w:tc>
        <w:tc>
          <w:tcPr>
            <w:tcW w:w="4680" w:type="dxa"/>
            <w:tcMar>
              <w:left w:w="210" w:type="dxa"/>
              <w:right w:w="0" w:type="dxa"/>
            </w:tcMar>
          </w:tcPr>
          <w:p>
            <w:pPr>
              <w:pStyle w:val="Heading1"/>
            </w:pPr>
            <w:r>
              <w:t xml:space="preserve">Participants</w:t>
            </w:r>
          </w:p>
          <w:p>
            <w:pPr>
              <w:pStyle w:val="Normal"/>
            </w:pPr>
            <w:r>
              <w:rPr>
                <w:b/>
                <w:bCs/>
                <w:sz w:val="20"/>
                <w:szCs w:val="20"/>
                <w:bdr w:val="single" w:color="EDEBE6" w:sz="4" w:space="1"/>
                <w:shd w:val="clear" w:color="auto" w:fill="EDEBE6"/>
              </w:rPr>
              <w:t xml:space="preserve">Sam Okafor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  <w:bdr w:val="single" w:color="EDEBE6" w:sz="4" w:space="1"/>
                <w:shd w:val="clear" w:color="auto" w:fill="EDEBE6"/>
              </w:rPr>
              <w:t xml:space="preserve">Priya Natarajan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  <w:bdr w:val="single" w:color="EDEBE6" w:sz="4" w:space="1"/>
                <w:shd w:val="clear" w:color="auto" w:fill="EDEBE6"/>
              </w:rPr>
              <w:t xml:space="preserve">Lee Chen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  <w:bdr w:val="single" w:color="EDEBE6" w:sz="4" w:space="1"/>
                <w:shd w:val="clear" w:color="auto" w:fill="EDEBE6"/>
              </w:rPr>
              <w:t xml:space="preserve">Me</w:t>
            </w:r>
          </w:p>
        </w:tc>
      </w:tr>
    </w:tbl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1"/>
        </w:numPr>
      </w:pPr>
      <w:r>
        <w:t xml:space="preserve">Review mockups</w:t>
      </w:r>
    </w:p>
    <w:p>
      <w:pPr>
        <w:pStyle w:val="ListParagraph"/>
        <w:numPr>
          <w:ilvl w:val="0"/>
          <w:numId w:val="1"/>
        </w:numPr>
      </w:pPr>
      <w:r>
        <w:t xml:space="preserve">Row density and status pills</w:t>
      </w:r>
    </w:p>
    <w:p>
      <w:pPr>
        <w:pStyle w:val="ListParagraph"/>
        <w:numPr>
          <w:ilvl w:val="0"/>
          <w:numId w:val="1"/>
        </w:numPr>
      </w:pPr>
      <w:r>
        <w:t xml:space="preserve">Dark theme scope</w:t>
      </w:r>
    </w:p>
    <w:p>
      <w:pPr>
        <w:pStyle w:val="ListParagraph"/>
        <w:numPr>
          <w:ilvl w:val="0"/>
          <w:numId w:val="1"/>
        </w:numPr>
      </w:pPr>
      <w:r>
        <w:t xml:space="preserve">Owners and next steps </w:t>
      </w:r>
      <w:r>
        <w:rPr>
          <w:color w:val="6B6861"/>
        </w:rPr>
        <w:t xml:space="preserve">(reached with 8 minutes left)</w:t>
      </w:r>
    </w:p>
    <w:p>
      <w:pPr>
        <w:pStyle w:val="Heading1"/>
      </w:pPr>
      <w:r>
        <w:t xml:space="preserve">Discussion summary</w:t>
      </w:r>
    </w:p>
    <w:p>
      <w:pPr>
        <w:pStyle w:val="Normal"/>
      </w:pPr>
      <w:r>
        <w:t xml:space="preserve">Sam opened with the 1440 px mockups and asked whether the row height felt tight.</w:t>
      </w:r>
      <w:r>
        <w:rPr>
          <w:rStyle w:val="FootnoteReference"/>
        </w:rPr>
        <w:footnoteReference w:id="3"/>
      </w:r>
      <w:r>
        <w:t xml:space="preserve"> Priya agreed that a pill on every row made the list busy. The proposal to show pills only for completed or running stages, and a quiet caption for audio-only recordings, was accepted without objection.</w:t>
      </w:r>
      <w:r>
        <w:rPr>
          <w:rStyle w:val="FootnoteReference"/>
        </w:rPr>
        <w:footnoteReference w:id="4"/>
      </w:r>
      <w:r>
        <w:t xml:space="preserve"> On the dark theme, Lee argued that Windows users switch themes with the system and a light-only first release would look unfinished; nobody disagreed.</w:t>
      </w:r>
      <w:r>
        <w:rPr>
          <w:rStyle w:val="FootnoteReference"/>
        </w:rPr>
        <w:footnoteReference w:id="5"/>
      </w:r>
    </w:p>
    <w:tbl>
      <w:tblPr>
        <w:tblW w:w="936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false" w:lastRow="false" w:firstColumn="false" w:lastColumn="false" w:noHBand="true" w:noVBand="true"/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210" w:type="dxa"/>
            </w:tcMar>
          </w:tcPr>
          <w:p>
            <w:pPr>
              <w:pStyle w:val="Heading1"/>
            </w:pPr>
            <w:r>
              <w:t xml:space="preserve">Decisions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Row height stays at 68 px.</w:t>
            </w:r>
            <w:r>
              <w:rPr>
                <w:rStyle w:val="FootnoteReference"/>
              </w:rPr>
              <w:footnoteReference w:id="6"/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Status pills only for stages that have run; audio-only shows a caption.</w:t>
            </w:r>
            <w:r>
              <w:rPr>
                <w:rStyle w:val="FootnoteReference"/>
              </w:rPr>
              <w:footnoteReference w:id="7"/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Processing card hides while a filter or search is active.</w:t>
            </w:r>
            <w:r>
              <w:rPr>
                <w:rStyle w:val="FootnoteReference"/>
              </w:rPr>
              <w:footnoteReference w:id="8"/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Dark theme ships in v1.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  <w:tcMar>
              <w:left w:w="210" w:type="dxa"/>
              <w:right w:w="0" w:type="dxa"/>
            </w:tcMar>
          </w:tcPr>
          <w:p>
            <w:pPr>
              <w:pStyle w:val="Heading1"/>
            </w:pPr>
            <w:r>
              <w:t xml:space="preserve">Action items</w:t>
            </w:r>
          </w:p>
          <w:tbl>
            <w:tblPr>
              <w:tblW w:w="4470" w:type="dxa"/>
              <w:tblBorders>
                <w:top w:val="none"/>
                <w:left w:val="none"/>
                <w:bottom w:val="single" w:color="E2DFD8" w:sz="4"/>
                <w:right w:val="none"/>
                <w:insideH w:val="single" w:color="E2DFD8" w:sz="4"/>
                <w:insideV w:val="none"/>
              </w:tblBorders>
              <w:tblLayout w:type="fixed"/>
              <w:tblCellMar>
                <w:top w:w="77" w:type="dxa"/>
                <w:left w:w="132" w:type="dxa"/>
                <w:bottom w:w="77" w:type="dxa"/>
                <w:right w:w="132" w:type="dxa"/>
              </w:tblCellMar>
              <w:tblLook w:val="0000" w:firstRow="true" w:lastRow="false" w:firstColumn="false" w:lastColumn="false" w:noHBand="true" w:noVBand="true"/>
            </w:tblPr>
            <w:tblGrid>
              <w:gridCol w:w="2235"/>
              <w:gridCol w:w="1117"/>
              <w:gridCol w:w="1117"/>
            </w:tblGrid>
            <w:tr>
              <w:trPr>
                <w:tblHeader/>
              </w:trPr>
              <w:tc>
                <w:tcPr>
                  <w:tcW w:w="2235" w:type="dxa"/>
                  <w:shd w:val="clear" w:color="auto" w:fill="D9E1EC"/>
                </w:tcPr>
                <w:p>
                  <w:pPr>
                    <w:pStyle w:val="TableText"/>
                  </w:pPr>
                  <w:r>
                    <w:rPr>
                      <w:b/>
                      <w:bCs/>
                      <w:color w:val="1F3A5F"/>
                      <w:sz w:val="20"/>
                      <w:szCs w:val="20"/>
                    </w:rPr>
                    <w:t xml:space="preserve">Action</w:t>
                  </w:r>
                </w:p>
              </w:tc>
              <w:tc>
                <w:tcPr>
                  <w:tcW w:w="1117" w:type="dxa"/>
                  <w:shd w:val="clear" w:color="auto" w:fill="D9E1EC"/>
                </w:tcPr>
                <w:p>
                  <w:pPr>
                    <w:pStyle w:val="TableText"/>
                  </w:pPr>
                  <w:r>
                    <w:rPr>
                      <w:b/>
                      <w:bCs/>
                      <w:color w:val="1F3A5F"/>
                      <w:sz w:val="20"/>
                      <w:szCs w:val="20"/>
                    </w:rPr>
                    <w:t xml:space="preserve">Owner</w:t>
                  </w:r>
                </w:p>
              </w:tc>
              <w:tc>
                <w:tcPr>
                  <w:tcW w:w="1117" w:type="dxa"/>
                  <w:shd w:val="clear" w:color="auto" w:fill="D9E1EC"/>
                </w:tcPr>
                <w:p>
                  <w:pPr>
                    <w:pStyle w:val="TableText"/>
                  </w:pPr>
                  <w:r>
                    <w:rPr>
                      <w:b/>
                      <w:bCs/>
                      <w:color w:val="1F3A5F"/>
                      <w:sz w:val="20"/>
                      <w:szCs w:val="20"/>
                    </w:rPr>
                    <w:t xml:space="preserve">Due</w:t>
                  </w:r>
                </w:p>
              </w:tc>
            </w:tr>
            <w:tr>
              <w:trPr>
                <w:cantSplit/>
              </w:trPr>
              <w:tc>
                <w:tcPr>
                  <w:tcW w:w="2235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Update the library mockup</w:t>
                  </w:r>
                  <w:r>
                    <w:rPr>
                      <w:rStyle w:val="FootnoteReference"/>
                    </w:rPr>
                    <w:footnoteReference w:id="10"/>
                  </w:r>
                </w:p>
              </w:tc>
              <w:tc>
                <w:tcPr>
                  <w:tcW w:w="1117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Priya</w:t>
                  </w:r>
                </w:p>
              </w:tc>
              <w:tc>
                <w:tcPr>
                  <w:tcW w:w="1117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Wed</w:t>
                  </w:r>
                </w:p>
              </w:tc>
            </w:tr>
            <w:tr>
              <w:trPr>
                <w:cantSplit/>
              </w:trPr>
              <w:tc>
                <w:tcPr>
                  <w:tcW w:w="2235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Produce the dark variant</w:t>
                  </w:r>
                </w:p>
              </w:tc>
              <w:tc>
                <w:tcPr>
                  <w:tcW w:w="1117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Sam</w:t>
                  </w:r>
                </w:p>
              </w:tc>
              <w:tc>
                <w:tcPr>
                  <w:tcW w:w="1117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Wed</w:t>
                  </w:r>
                </w:p>
              </w:tc>
            </w:tr>
            <w:tr>
              <w:trPr>
                <w:cantSplit/>
              </w:trPr>
              <w:tc>
                <w:tcPr>
                  <w:tcW w:w="2235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Write empty-state copy</w:t>
                  </w:r>
                  <w:r>
                    <w:rPr>
                      <w:rStyle w:val="FootnoteReference"/>
                    </w:rPr>
                    <w:footnoteReference w:id="11"/>
                  </w:r>
                </w:p>
              </w:tc>
              <w:tc>
                <w:tcPr>
                  <w:tcW w:w="1117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Sam</w:t>
                  </w:r>
                </w:p>
              </w:tc>
              <w:tc>
                <w:tcPr>
                  <w:tcW w:w="1117" w:type="dxa"/>
                </w:tcPr>
                <w:p>
                  <w:pPr>
                    <w:pStyle w:val="TableText"/>
                  </w:pPr>
                  <w:r>
                    <w:rPr>
                      <w:sz w:val="20"/>
                      <w:szCs w:val="20"/>
                    </w:rPr>
                    <w:t xml:space="preserve">Fri</w:t>
                  </w:r>
                </w:p>
              </w:tc>
            </w:tr>
          </w:tbl>
          <w:p>
            <w:pPr>
              <w:pStyle w:val="TableText"/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pStyle w:val="TableText"/>
        <w:spacing w:before="0" w:after="0" w:line="20" w:lineRule="exact"/>
        <w:rPr>
          <w:sz w:val="2"/>
          <w:szCs w:val="2"/>
        </w:rPr>
      </w:pPr>
    </w:p>
    <w:tbl>
      <w:tblPr>
        <w:tblW w:w="936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false" w:lastRow="false" w:firstColumn="false" w:lastColumn="false" w:noHBand="true" w:noVBand="true"/>
      </w:tblPr>
      <w:tblGrid>
        <w:gridCol w:w="4680"/>
        <w:gridCol w:w="4680"/>
      </w:tblGrid>
      <w:tr>
        <w:tc>
          <w:tcPr>
            <w:tcW w:w="4680" w:type="dxa"/>
            <w:tcMar>
              <w:left w:w="0" w:type="dxa"/>
              <w:right w:w="210" w:type="dxa"/>
            </w:tcMar>
          </w:tcPr>
          <w:p>
            <w:pPr>
              <w:pStyle w:val="Heading1"/>
            </w:pPr>
            <w:r>
              <w:t xml:space="preserve">Open questions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Should the grid view show thumbnails for video recordings?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Where does "Documents" live if there is no sidebar?</w:t>
            </w:r>
          </w:p>
        </w:tc>
        <w:tc>
          <w:tcPr>
            <w:tcW w:w="4680" w:type="dxa"/>
            <w:tcMar>
              <w:left w:w="210" w:type="dxa"/>
              <w:right w:w="0" w:type="dxa"/>
            </w:tcMar>
          </w:tcPr>
          <w:p>
            <w:pPr>
              <w:pStyle w:val="Heading1"/>
            </w:pPr>
            <w:r>
              <w:t xml:space="preserve">Next meeting</w:t>
            </w:r>
          </w:p>
          <w:p>
            <w:pPr>
              <w:pStyle w:val="Normal"/>
              <w:tabs>
                <w:tab w:val="left" w:pos="1200"/>
              </w:tabs>
              <w:ind w:left="1200" w:hanging="1200"/>
            </w:pPr>
            <w:r>
              <w:rPr>
                <w:b/>
                <w:bCs/>
              </w:rPr>
              <w:t xml:space="preserve">When</w:t>
            </w:r>
            <w:r>
              <w:tab/>
            </w:r>
            <w:r>
              <w:t xml:space="preserve">Thursday 9 October, 4:00 PM</w:t>
            </w:r>
          </w:p>
          <w:p>
            <w:pPr>
              <w:pStyle w:val="Normal"/>
              <w:tabs>
                <w:tab w:val="left" w:pos="1200"/>
              </w:tabs>
              <w:ind w:left="1200" w:hanging="1200"/>
            </w:pPr>
            <w:r>
              <w:rPr>
                <w:b/>
                <w:bCs/>
              </w:rPr>
              <w:t xml:space="preserve">Agenda</w:t>
            </w:r>
            <w:r>
              <w:tab/>
            </w:r>
            <w:r>
              <w:t xml:space="preserve">Recording screen walkthrough</w:t>
            </w:r>
          </w:p>
        </w:tc>
      </w:tr>
    </w:tbl>
    <w:p>
      <w:pPr>
        <w:pStyle w:val="Heading1"/>
      </w:pPr>
      <w:r>
        <w:t xml:space="preserve">Full transcript</w:t>
      </w:r>
    </w:p>
    <w:tbl>
      <w:tblPr>
        <w:tblW w:w="9360" w:type="dxa"/>
        <w:tblBorders>
          <w:top w:val="none"/>
          <w:left w:val="none"/>
          <w:bottom w:val="single" w:color="E2DFD8" w:sz="4"/>
          <w:right w:val="none"/>
          <w:insideH w:val="single" w:color="E2DFD8" w:sz="4"/>
          <w:insideV w:val="none"/>
        </w:tblBorders>
        <w:tblLayout w:type="fixed"/>
        <w:tblCellMar>
          <w:top w:w="44" w:type="dxa"/>
          <w:left w:w="0" w:type="dxa"/>
          <w:bottom w:w="44" w:type="dxa"/>
          <w:right w:w="132" w:type="dxa"/>
        </w:tblCellMar>
        <w:tblLook w:val="0000" w:firstRow="false" w:lastRow="false" w:firstColumn="false" w:lastColumn="false" w:noHBand="true" w:noVBand="true"/>
      </w:tblPr>
      <w:tblGrid>
        <w:gridCol w:w="936"/>
        <w:gridCol w:w="1944"/>
        <w:gridCol w:w="6480"/>
      </w:tblGrid>
      <w:tr>
        <w:trPr>
          <w:cantSplit/>
        </w:trPr>
        <w:tc>
          <w:tcPr>
            <w:tcW w:w="9360" w:type="dxa"/>
            <w:gridSpan w:val="3"/>
          </w:tcPr>
          <w:p>
            <w:pPr>
              <w:pStyle w:val="TableText"/>
              <w:keepNext/>
            </w:pPr>
            <w:r>
              <w:rPr>
                <w:rFonts w:ascii="Segoe UI" w:hAnsi="Segoe UI" w:eastAsia="Segoe UI" w:cs="Segoe UI"/>
                <w:b/>
                <w:bCs/>
                <w:color w:val="1F3A5F"/>
                <w:sz w:val="18"/>
                <w:szCs w:val="18"/>
              </w:rPr>
              <w:t xml:space="preserve">Review mockups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0:15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start with the mockups at 1440 pixels and see whether the rows feel tight.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1:13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They read well at sixty-eight, but a pill on every row makes the list busy.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2:12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What if we only show pills for stages that have run, and a quiet caption for audio-only?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3:10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That works for me. The processing card should hide while a filter is active.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4:09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Agreed. I'll update the library mockup by Wednesday.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5:07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On the dark theme, people switch themes with the system, so a light-only release would look unfinished.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6:06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Nobody disagrees, then: the dark theme ships in the first version.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7:04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 can produce the dark variant by Wednesday as well.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8:03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Should the grid view show thumbnails for video recordings?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9:01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leave that open until video capture is planned.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10:00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empty state still needs copy; I'll write it by Friday.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10:58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Good. Next time we walk through the recording screen.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11:57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start with the mockups at 1440 pixels and see whether the rows feel tight.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12:55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They read well at sixty-eight, but a pill on every row makes the list busy.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13:54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What if we only show pills for stages that have run, and a quiet caption for audio-only?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14:52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That works for me. The processing card should hide while a filter is active.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15:51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Agreed. I'll update the library mockup by Wednesday.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16:49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On the dark theme, people switch themes with the system, so a light-only release would look unfinished.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17:48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Nobody disagrees, then: the dark theme ships in the first version.</w:t>
            </w:r>
          </w:p>
        </w:tc>
      </w:tr>
      <w:tr>
        <w:trPr>
          <w:cantSplit/>
        </w:trPr>
        <w:tc>
          <w:tcPr>
            <w:tcW w:w="9360" w:type="dxa"/>
            <w:gridSpan w:val="3"/>
          </w:tcPr>
          <w:p>
            <w:pPr>
              <w:pStyle w:val="TableText"/>
              <w:keepNext/>
            </w:pPr>
            <w:r>
              <w:rPr>
                <w:rFonts w:ascii="Segoe UI" w:hAnsi="Segoe UI" w:eastAsia="Segoe UI" w:cs="Segoe UI"/>
                <w:b/>
                <w:bCs/>
                <w:color w:val="1F3A5F"/>
                <w:sz w:val="18"/>
                <w:szCs w:val="18"/>
              </w:rPr>
              <w:t xml:space="preserve">Row density and status pills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18:46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 can produce the dark variant by Wednesday as well.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19:45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Should the grid view show thumbnails for video recordings?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20:43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leave that open until video capture is planned.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21:42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empty state still needs copy; I'll write it by Friday.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22:40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Good. Next time we walk through the recording screen.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23:39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start with the mockups at 1440 pixels and see whether the rows feel tight.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24:37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They read well at sixty-eight, but a pill on every row makes the list busy.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25:36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What if we only show pills for stages that have run, and a quiet caption for audio-only?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26:34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That works for me. The processing card should hide while a filter is active.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27:33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Agreed. I'll update the library mockup by Wednesday.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28:31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On the dark theme, people switch themes with the system, so a light-only release would look unfinished.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29:30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Nobody disagrees, then: the dark theme ships in the first version.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30:28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 can produce the dark variant by Wednesday as well.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31:27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Should the grid view show thumbnails for video recordings?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32:25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leave that open until video capture is planned.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33:24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empty state still needs copy; I'll write it by Friday.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34:22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Good. Next time we walk through the recording screen.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35:21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start with the mockups at 1440 pixels and see whether the rows feel tight.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36:19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They read well at sixty-eight, but a pill on every row makes the list busy.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37:18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What if we only show pills for stages that have run, and a quiet caption for audio-only?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38:16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That works for me. The processing card should hide while a filter is active.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39:15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Agreed. I'll update the library mockup by Wednesday.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40:13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On the dark theme, people switch themes with the system, so a light-only release would look unfinished.</w:t>
            </w:r>
          </w:p>
        </w:tc>
      </w:tr>
      <w:tr>
        <w:trPr>
          <w:cantSplit/>
        </w:trPr>
        <w:tc>
          <w:tcPr>
            <w:tcW w:w="9360" w:type="dxa"/>
            <w:gridSpan w:val="3"/>
          </w:tcPr>
          <w:p>
            <w:pPr>
              <w:pStyle w:val="TableText"/>
              <w:keepNext/>
            </w:pPr>
            <w:r>
              <w:rPr>
                <w:rFonts w:ascii="Segoe UI" w:hAnsi="Segoe UI" w:eastAsia="Segoe UI" w:cs="Segoe UI"/>
                <w:b/>
                <w:bCs/>
                <w:color w:val="1F3A5F"/>
                <w:sz w:val="18"/>
                <w:szCs w:val="18"/>
              </w:rPr>
              <w:t xml:space="preserve">Dark theme scope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41:12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Nobody disagrees, then: the dark theme ships in the first version.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42:10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 can produce the dark variant by Wednesday as well.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43:09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Should the grid view show thumbnails for video recordings?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44:07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leave that open until video capture is planned.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45:06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empty state still needs copy; I'll write it by Friday.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46:04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Good. Next time we walk through the recording screen.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47:03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start with the mockups at 1440 pixels and see whether the rows feel tight.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48:01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They read well at sixty-eight, but a pill on every row makes the list busy.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49:00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What if we only show pills for stages that have run, and a quiet caption for audio-only?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49:58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That works for me. The processing card should hide while a filter is active.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50:57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Agreed. I'll update the library mockup by Wednesday.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51:55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On the dark theme, people switch themes with the system, so a light-only release would look unfinished.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52:54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Nobody disagrees, then: the dark theme ships in the first version.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53:52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 can produce the dark variant by Wednesday as well.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54:51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Should the grid view show thumbnails for video recordings?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55:49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leave that open until video capture is planned.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56:48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empty state still needs copy; I'll write it by Friday.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57:46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Good. Next time we walk through the recording screen.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58:45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start with the mockups at 1440 pixels and see whether the rows feel tight.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59:43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They read well at sixty-eight, but a pill on every row makes the list busy.</w:t>
            </w:r>
          </w:p>
        </w:tc>
      </w:tr>
      <w:tr>
        <w:trPr>
          <w:cantSplit/>
        </w:trPr>
        <w:tc>
          <w:tcPr>
            <w:tcW w:w="9360" w:type="dxa"/>
            <w:gridSpan w:val="3"/>
          </w:tcPr>
          <w:p>
            <w:pPr>
              <w:pStyle w:val="TableText"/>
              <w:keepNext/>
            </w:pPr>
            <w:r>
              <w:rPr>
                <w:rFonts w:ascii="Segoe UI" w:hAnsi="Segoe UI" w:eastAsia="Segoe UI" w:cs="Segoe UI"/>
                <w:b/>
                <w:bCs/>
                <w:color w:val="1F3A5F"/>
                <w:sz w:val="18"/>
                <w:szCs w:val="18"/>
              </w:rPr>
              <w:t xml:space="preserve">Owners and next steps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1:00:42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What if we only show pills for stages that have run, and a quiet caption for audio-only?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1:01:40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That works for me. The processing card should hide while a filter is active.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1:02:39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Agreed. I'll update the library mockup by Wednesday.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1:03:37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On the dark theme, people switch themes with the system, so a light-only release would look unfinished.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1:04:36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Nobody disagrees, then: the dark theme ships in the first version.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1:05:34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 can produce the dark variant by Wednesday as well.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1:06:33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Sam Okafor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Should the grid view show thumbnails for video recordings?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1:07:31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Priya Natarajan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Let's leave that open until video capture is planned.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1:08:30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Lee Chen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empty state still needs copy; I'll write it by Friday.</w:t>
            </w:r>
          </w:p>
        </w:tc>
      </w:tr>
      <w:tr>
        <w:trPr>
          <w:cantSplit/>
        </w:trPr>
        <w:tc>
          <w:tcPr>
            <w:tcW w:w="936" w:type="dxa"/>
          </w:tcPr>
          <w:p>
            <w:pPr>
              <w:pStyle w:val="TableText"/>
            </w:pPr>
            <w:r>
              <w:rPr>
                <w:rFonts w:ascii="Consolas" w:hAnsi="Consolas" w:eastAsia="Consolas" w:cs="Consolas"/>
                <w:color w:val="5E5B55"/>
                <w:sz w:val="15"/>
                <w:szCs w:val="15"/>
              </w:rPr>
              <w:t xml:space="preserve">1:09:28</w:t>
            </w:r>
          </w:p>
        </w:tc>
        <w:tc>
          <w:tcPr>
            <w:tcW w:w="1944" w:type="dxa"/>
          </w:tcPr>
          <w:p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 xml:space="preserve">Me</w:t>
            </w:r>
          </w:p>
        </w:tc>
        <w:tc>
          <w:tcPr>
            <w:tcW w:w="648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Good. Next time we walk through the recording screen.</w:t>
            </w:r>
          </w:p>
        </w:tc>
      </w:tr>
    </w:tbl>
    <w:p>
      <w:pPr>
        <w:pStyle w:val="TableText"/>
        <w:spacing w:before="0" w:after="0" w:line="20" w:lineRule="exact"/>
        <w:rPr>
          <w:sz w:val="2"/>
          <w:szCs w:val="2"/>
        </w:rPr>
      </w:pPr>
    </w:p>
    <w:sectPr>
      <w:headerReference xmlns:r="http://schemas.openxmlformats.org/officeDocument/2006/relationships" w:type="default" r:id="rIdHeader"/>
      <w:footerReference xmlns:r="http://schemas.openxmlformats.org/officeDocument/2006/relationships" w:type="default" r:id="rIdFooter"/>
      <w:pgSz w:w="12240" w:h="15840"/>
      <w:pgMar w:top="1296" w:right="1440" w:bottom="1296" w:left="1440" w:header="648" w:footer="648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18:42 — see the recording at 0:18:42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41:10 — see the recording at 0:41:10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18:10 — see the recording at 0:18:10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19:05 — see the recording at 0:19:05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41:10 — see the recording at 0:41:10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18:42 — see the recording at 0:18:42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18:42 — see the recording at 0:18:42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19:31 — see the recording at 0:19:31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41:10 — see the recording at 0:41:10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19:20 — see the recording at 0:19:20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1:02:05 — see the recording at 1:02:05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Design review: library screen</w:t>
    </w:r>
    <w:r>
      <w:tab/>
    </w:r>
    <w:r>
      <w:t xml:space="preserve">5 October 2026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270"/>
      </w:pPr>
    </w:lvl>
    <w:lvl w:ilvl="1">
      <w:start w:val="1"/>
      <w:numFmt w:val="bullet"/>
      <w:lvlText w:val="◦"/>
      <w:lvlJc w:val="left"/>
      <w:pPr>
        <w:ind w:left="720" w:hanging="270"/>
      </w:pPr>
    </w:lvl>
    <w:lvl w:ilvl="2">
      <w:start w:val="1"/>
      <w:numFmt w:val="bullet"/>
      <w:lvlText w:val="▪"/>
      <w:lvlJc w:val="left"/>
      <w:pPr>
        <w:ind w:left="1080" w:hanging="27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Heading1"/>
      <w:suff w:val="space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color w:val="1D1C1A"/>
        <w:sz w:val="22"/>
        <w:szCs w:val="22"/>
        <w:lang w:val="en-US"/>
      </w:rPr>
    </w:rPrDefault>
    <w:pPrDefault>
      <w:pPr>
        <w:spacing w:before="0" w:after="0" w:line="276" w:lineRule="auto"/>
      </w:pPr>
    </w:pPrDefault>
  </w:docDefaults>
  <w:style w:type="paragraph" w:styleId="Normal" w:default="true">
    <w:name w:val="Normal"/>
    <w:qFormat/>
    <w:pPr>
      <w:spacing w:after="110"/>
    </w:pPr>
  </w:style>
  <w:style w:type="paragraph" w:styleId="Title">
    <w:name w:val="Title"/>
    <w:basedOn w:val="Normal"/>
    <w:next w:val="Normal"/>
    <w:qFormat/>
    <w:pPr>
      <w:keepNext/>
      <w:pBdr>
        <w:bottom w:val="single" w:color="1F3A5F" w:sz="12" w:space="6"/>
      </w:pBdr>
      <w:spacing w:after="88" w:line="240" w:lineRule="auto"/>
    </w:pPr>
    <w:rPr>
      <w:rFonts w:ascii="Segoe UI" w:hAnsi="Segoe UI" w:eastAsia="Segoe UI" w:cs="Segoe UI"/>
      <w:b/>
      <w:bCs/>
      <w:color w:val="1F3A5F"/>
      <w:spacing w:val="-9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0"/>
    </w:pPr>
    <w:rPr>
      <w:color w:val="6B6861"/>
      <w:sz w:val="19"/>
      <w:szCs w:val="19"/>
    </w:rPr>
  </w:style>
  <w:style w:type="paragraph" w:styleId="Heading1">
    <w:name w:val="heading 1"/>
    <w:basedOn w:val="Normal"/>
    <w:next w:val="Normal"/>
    <w:qFormat/>
    <w:pPr>
      <w:keepNext/>
      <w:spacing w:before="330" w:after="99" w:line="240" w:lineRule="auto"/>
      <w:outlineLvl w:val="0"/>
    </w:pPr>
    <w:rPr>
      <w:rFonts w:ascii="Segoe UI" w:hAnsi="Segoe UI" w:eastAsia="Segoe UI" w:cs="Segoe UI"/>
      <w:b/>
      <w:bCs/>
      <w:caps/>
      <w:color w:val="1F3A5F"/>
      <w:spacing w:val="18"/>
      <w:sz w:val="18"/>
      <w:szCs w:val="18"/>
    </w:rPr>
  </w:style>
  <w:style w:type="paragraph" w:styleId="Heading2">
    <w:name w:val="heading 2"/>
    <w:basedOn w:val="Normal"/>
    <w:next w:val="Normal"/>
    <w:qFormat/>
    <w:pPr>
      <w:keepNext/>
      <w:spacing w:before="132" w:after="66"/>
      <w:outlineLvl w:val="1"/>
    </w:pPr>
    <w:rPr>
      <w:rFonts w:ascii="Segoe UI" w:hAnsi="Segoe UI" w:eastAsia="Segoe UI" w:cs="Segoe UI"/>
      <w:b/>
      <w:bCs/>
      <w:color w:val="1F3A5F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before="132" w:after="66"/>
      <w:outlineLvl w:val="2"/>
    </w:pPr>
    <w:rPr>
      <w:rFonts w:ascii="Segoe UI" w:hAnsi="Segoe UI" w:eastAsia="Segoe UI" w:cs="Segoe UI"/>
      <w:b/>
      <w:bCs/>
      <w:color w:val="1F3A5F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before="132" w:after="66"/>
      <w:outlineLvl w:val="3"/>
    </w:pPr>
    <w:rPr>
      <w:rFonts w:ascii="Segoe UI" w:hAnsi="Segoe UI" w:eastAsia="Segoe UI" w:cs="Segoe UI"/>
      <w:b/>
      <w:bCs/>
      <w:color w:val="1F3A5F"/>
      <w:sz w:val="21"/>
      <w:szCs w:val="21"/>
    </w:rPr>
  </w:style>
  <w:style w:type="paragraph" w:styleId="ListParagraph">
    <w:name w:val="List Paragraph"/>
    <w:basedOn w:val="Normal"/>
    <w:next w:val="Normal"/>
    <w:qFormat/>
    <w:pPr>
      <w:spacing w:after="66"/>
    </w:pPr>
  </w:style>
  <w:style w:type="paragraph" w:styleId="Quote">
    <w:name w:val="Quote"/>
    <w:basedOn w:val="Normal"/>
    <w:next w:val="Normal"/>
    <w:qFormat/>
    <w:pPr>
      <w:pBdr>
        <w:left w:val="single" w:color="B9B5AC" w:sz="12" w:space="8"/>
      </w:pBdr>
      <w:spacing w:after="66"/>
      <w:ind w:left="200"/>
    </w:pPr>
  </w:style>
  <w:style w:type="paragraph" w:styleId="TableText">
    <w:name w:val="Table Text"/>
    <w:basedOn w:val="Normal"/>
    <w:next w:val="Normal"/>
    <w:pPr>
      <w:spacing w:before="0" w:after="0"/>
    </w:pPr>
  </w:style>
  <w:style w:type="paragraph" w:styleId="FootnoteText">
    <w:name w:val="footnote text"/>
    <w:basedOn w:val="Normal"/>
    <w:next w:val="Normal"/>
    <w:pPr>
      <w:spacing w:after="0"/>
    </w:pPr>
    <w:rPr>
      <w:color w:val="5E5B55"/>
      <w:sz w:val="18"/>
      <w:szCs w:val="18"/>
    </w:rPr>
  </w:style>
  <w:style w:type="paragraph" w:styleId="Header">
    <w:name w:val="header"/>
    <w:basedOn w:val="Normal"/>
    <w:next w:val="Normal"/>
    <w:pPr>
      <w:pBdr>
        <w:bottom w:val="single" w:color="E2DFD8" w:sz="4" w:space="4"/>
      </w:pBdr>
      <w:tabs>
        <w:tab w:val="right" w:pos="9360"/>
      </w:tabs>
      <w:spacing w:after="0"/>
    </w:pPr>
    <w:rPr>
      <w:color w:val="8A867E"/>
      <w:sz w:val="17"/>
      <w:szCs w:val="17"/>
    </w:rPr>
  </w:style>
  <w:style w:type="paragraph" w:styleId="Footer">
    <w:name w:val="footer"/>
    <w:basedOn w:val="Normal"/>
    <w:next w:val="Normal"/>
    <w:pPr>
      <w:spacing w:after="0"/>
      <w:jc w:val="center"/>
    </w:pPr>
    <w:rPr>
      <w:color w:val="8A867E"/>
      <w:sz w:val="17"/>
      <w:szCs w:val="17"/>
    </w:rPr>
  </w:style>
  <w:style w:type="character" w:styleId="FootnoteReference">
    <w:name w:val="footnote reference"/>
    <w:uiPriority w:val="99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" /><Relationship Type="http://schemas.openxmlformats.org/officeDocument/2006/relationships/footer" Target="/word/footer1.xml" Id="rIdFooter" /><Relationship Type="http://schemas.openxmlformats.org/officeDocument/2006/relationships/footnotes" Target="/word/footnotes.xml" Id="rIdFootnotes" /><Relationship Type="http://schemas.openxmlformats.org/officeDocument/2006/relationships/numbering" Target="/word/numbering.xml" Id="rIdNumbering" /></Relationships>
</file>