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0F116" w14:textId="77777777" w:rsidR="006A2F56" w:rsidRDefault="00000000">
      <w:pPr>
        <w:pStyle w:val="aa"/>
        <w:spacing w:line="360" w:lineRule="auto" w:after="60" w:before="0"/>
      </w:pPr>
      <w:r>
        <w:rPr>
          <w:rFonts w:ascii="Times New Roman" w:hAnsi="Times New Roman" w:eastAsia="Times New Roman"/>
          <w:b/>
          <w:sz w:val="32"/>
        </w:rPr>
        <w:t>User Manual - HVAS</w:t>
      </w:r>
    </w:p>
    <w:p w14:paraId="26AD7FCF" w14:textId="77777777" w:rsidR="006A2F56" w:rsidRDefault="00000000">
      <w:pPr>
        <w:spacing w:line="360" w:lineRule="auto" w:after="60" w:before="0"/>
        <w:jc w:val="center"/>
      </w:pPr>
      <w:r>
        <w:rPr>
          <w:rFonts w:ascii="Times New Roman" w:hAnsi="Times New Roman" w:eastAsia="Times New Roman"/>
          <w:b/>
          <w:sz w:val="20"/>
        </w:rPr>
        <w:t>Hybrid Video Analysis System (HVAS) + Municipal Urban Business System (MUBS)</w:t>
      </w:r>
    </w:p>
    <w:p w14:paraId="690CDF1F" w14:textId="77777777" w:rsidR="006A2F56" w:rsidRDefault="00000000">
      <w:pPr>
        <w:pStyle w:val="1"/>
        <w:spacing w:line="360" w:lineRule="auto" w:after="60" w:before="0"/>
      </w:pPr>
      <w:r>
        <w:rPr>
          <w:rFonts w:ascii="Times New Roman" w:hAnsi="Times New Roman" w:eastAsia="Times New Roman"/>
          <w:b/>
          <w:sz w:val="26"/>
        </w:rPr>
        <w:t>Document Control</w:t>
      </w:r>
    </w:p>
    <w:tbl>
      <w:tblPr>
        <w:tblStyle w:val="aff1"/>
        <w:tblW w:w="0" w:type="auto"/>
        <w:jc w:val="center"/>
        <w:tblLook w:val="04A0" w:firstRow="1" w:lastRow="0" w:firstColumn="1" w:lastColumn="0" w:noHBand="0" w:noVBand="1"/>
      </w:tblPr>
      <w:tblGrid>
        <w:gridCol w:w="2304"/>
        <w:gridCol w:w="8064"/>
      </w:tblGrid>
      <w:tr w:rsidR="006A2F56" w14:paraId="325A174F" w14:textId="77777777">
        <w:trPr>
          <w:jc w:val="center"/>
        </w:trPr>
        <w:tc>
          <w:tcPr>
            <w:tcW w:w="2304" w:type="dxa"/>
            <w:shd w:val="clear" w:color="auto" w:fill="1F4E79"/>
            <w:vAlign w:val="center"/>
          </w:tcPr>
          <w:p w14:paraId="2DD88792" w14:textId="77777777" w:rsidR="006A2F56" w:rsidRDefault="00000000">
            <w:pPr>
              <w:spacing w:line="360" w:lineRule="auto" w:after="60" w:before="0"/>
            </w:pPr>
            <w:r>
              <w:rPr>
                <w:rFonts w:ascii="Times New Roman" w:hAnsi="Times New Roman" w:eastAsia="Times New Roman"/>
                <w:b/>
                <w:color w:val="FFFFFF"/>
                <w:sz w:val="20"/>
              </w:rPr>
              <w:t>Field</w:t>
            </w:r>
          </w:p>
        </w:tc>
        <w:tc>
          <w:tcPr>
            <w:tcW w:w="8064" w:type="dxa"/>
            <w:shd w:val="clear" w:color="auto" w:fill="1F4E79"/>
            <w:vAlign w:val="center"/>
          </w:tcPr>
          <w:p w14:paraId="66D5C7AD" w14:textId="77777777" w:rsidR="006A2F56" w:rsidRDefault="00000000">
            <w:pPr>
              <w:spacing w:line="360" w:lineRule="auto" w:after="60" w:before="0"/>
            </w:pPr>
            <w:r>
              <w:rPr>
                <w:rFonts w:ascii="Times New Roman" w:hAnsi="Times New Roman" w:eastAsia="Times New Roman"/>
                <w:b/>
                <w:color w:val="FFFFFF"/>
                <w:sz w:val="20"/>
              </w:rPr>
              <w:t>Value</w:t>
            </w:r>
          </w:p>
        </w:tc>
      </w:tr>
      <w:tr w:rsidR="006A2F56" w14:paraId="7B2C933E" w14:textId="77777777">
        <w:trPr>
          <w:jc w:val="center"/>
        </w:trPr>
        <w:tc>
          <w:tcPr>
            <w:tcW w:w="2304" w:type="dxa"/>
          </w:tcPr>
          <w:p w14:paraId="453CF4E9" w14:textId="77777777" w:rsidR="006A2F56" w:rsidRDefault="00000000">
            <w:pPr>
              <w:spacing w:line="360" w:lineRule="auto" w:after="60" w:before="0"/>
            </w:pPr>
            <w:r>
              <w:rPr>
                <w:rFonts w:ascii="Times New Roman" w:hAnsi="Times New Roman" w:eastAsia="Times New Roman"/>
                <w:sz w:val="20"/>
              </w:rPr>
              <w:t>Project</w:t>
            </w:r>
          </w:p>
        </w:tc>
        <w:tc>
          <w:tcPr>
            <w:tcW w:w="8064" w:type="dxa"/>
          </w:tcPr>
          <w:p w14:paraId="4E8C65DC" w14:textId="77777777" w:rsidR="006A2F56" w:rsidRDefault="00000000">
            <w:pPr>
              <w:spacing w:line="360" w:lineRule="auto" w:after="60" w:before="0"/>
            </w:pPr>
            <w:r>
              <w:rPr>
                <w:rFonts w:ascii="Times New Roman" w:hAnsi="Times New Roman" w:eastAsia="Times New Roman"/>
                <w:sz w:val="20"/>
              </w:rPr>
              <w:t>Hybrid Video Analysis System (HVAS) + Municipal Urban Business System (MUBS)</w:t>
            </w:r>
          </w:p>
        </w:tc>
      </w:tr>
      <w:tr w:rsidR="006A2F56" w14:paraId="4487CDD5" w14:textId="77777777">
        <w:trPr>
          <w:jc w:val="center"/>
        </w:trPr>
        <w:tc>
          <w:tcPr>
            <w:tcW w:w="2304" w:type="dxa"/>
          </w:tcPr>
          <w:p w14:paraId="7819A80F" w14:textId="77777777" w:rsidR="006A2F56" w:rsidRDefault="00000000">
            <w:pPr>
              <w:spacing w:line="360" w:lineRule="auto" w:after="60" w:before="0"/>
            </w:pPr>
            <w:r>
              <w:rPr>
                <w:rFonts w:ascii="Times New Roman" w:hAnsi="Times New Roman" w:eastAsia="Times New Roman"/>
                <w:sz w:val="20"/>
              </w:rPr>
              <w:t>Portfolio section</w:t>
            </w:r>
          </w:p>
        </w:tc>
        <w:tc>
          <w:tcPr>
            <w:tcW w:w="8064" w:type="dxa"/>
          </w:tcPr>
          <w:p w14:paraId="0B512F14" w14:textId="77777777" w:rsidR="006A2F56" w:rsidRDefault="00000000">
            <w:pPr>
              <w:spacing w:line="360" w:lineRule="auto" w:after="60" w:before="0"/>
            </w:pPr>
            <w:r>
              <w:rPr>
                <w:rFonts w:ascii="Times New Roman" w:hAnsi="Times New Roman" w:eastAsia="Times New Roman"/>
                <w:sz w:val="20"/>
              </w:rPr>
              <w:t>04-Development-and-Quality-Assurance</w:t>
            </w:r>
          </w:p>
        </w:tc>
      </w:tr>
      <w:tr w:rsidR="006A2F56" w14:paraId="071C5E37" w14:textId="77777777">
        <w:trPr>
          <w:jc w:val="center"/>
        </w:trPr>
        <w:tc>
          <w:tcPr>
            <w:tcW w:w="2304" w:type="dxa"/>
          </w:tcPr>
          <w:p w14:paraId="28F04DBB" w14:textId="77777777" w:rsidR="006A2F56" w:rsidRDefault="00000000">
            <w:pPr>
              <w:spacing w:line="360" w:lineRule="auto" w:after="60" w:before="0"/>
            </w:pPr>
            <w:r>
              <w:rPr>
                <w:rFonts w:ascii="Times New Roman" w:hAnsi="Times New Roman" w:eastAsia="Times New Roman"/>
                <w:sz w:val="20"/>
              </w:rPr>
              <w:t>Version</w:t>
            </w:r>
          </w:p>
        </w:tc>
        <w:tc>
          <w:tcPr>
            <w:tcW w:w="8064" w:type="dxa"/>
            <w:vAlign w:val="top"/>
          </w:tcPr>
          <w:p>
            <w:r/>
            <w:r>
              <w:rPr>
                <w:b w:val="0"/>
                <w:sz w:val="18"/>
              </w:rPr>
              <w:t>1.1</w:t>
            </w:r>
          </w:p>
        </w:tc>
      </w:tr>
      <w:tr w:rsidR="006A2F56" w14:paraId="3E36C87B" w14:textId="77777777">
        <w:trPr>
          <w:jc w:val="center"/>
        </w:trPr>
        <w:tc>
          <w:tcPr>
            <w:tcW w:w="2304" w:type="dxa"/>
          </w:tcPr>
          <w:p w14:paraId="66570CAA" w14:textId="77777777" w:rsidR="006A2F56" w:rsidRDefault="00000000">
            <w:pPr>
              <w:spacing w:line="360" w:lineRule="auto" w:after="60" w:before="0"/>
            </w:pPr>
            <w:r>
              <w:rPr>
                <w:rFonts w:ascii="Times New Roman" w:hAnsi="Times New Roman" w:eastAsia="Times New Roman"/>
                <w:sz w:val="20"/>
              </w:rPr>
              <w:t>Date</w:t>
            </w:r>
          </w:p>
        </w:tc>
        <w:tc>
          <w:tcPr>
            <w:tcW w:w="8064" w:type="dxa"/>
            <w:vAlign w:val="top"/>
          </w:tcPr>
          <w:p>
            <w:r/>
            <w:r>
              <w:rPr>
                <w:b w:val="0"/>
                <w:sz w:val="18"/>
              </w:rPr>
              <w:t>2026-05-06</w:t>
            </w:r>
          </w:p>
        </w:tc>
      </w:tr>
      <w:tr w:rsidR="006A2F56" w14:paraId="7E36F5CA" w14:textId="77777777">
        <w:trPr>
          <w:jc w:val="center"/>
        </w:trPr>
        <w:tc>
          <w:tcPr>
            <w:tcW w:w="2304" w:type="dxa"/>
          </w:tcPr>
          <w:p w14:paraId="56B5FBB0" w14:textId="77777777" w:rsidR="006A2F56" w:rsidRDefault="00000000">
            <w:pPr>
              <w:spacing w:line="360" w:lineRule="auto" w:after="60" w:before="0"/>
            </w:pPr>
            <w:r>
              <w:rPr>
                <w:rFonts w:ascii="Times New Roman" w:hAnsi="Times New Roman" w:eastAsia="Times New Roman"/>
                <w:sz w:val="20"/>
              </w:rPr>
              <w:t>Status</w:t>
            </w:r>
          </w:p>
        </w:tc>
        <w:tc>
          <w:tcPr>
            <w:tcW w:w="8064" w:type="dxa"/>
            <w:vAlign w:val="top"/>
          </w:tcPr>
          <w:p>
            <w:r/>
            <w:r>
              <w:rPr>
                <w:b w:val="0"/>
                <w:sz w:val="18"/>
              </w:rPr>
              <w:t>Final portfolio version - deployment guidance expanded</w:t>
            </w:r>
          </w:p>
        </w:tc>
      </w:tr>
      <w:tr w:rsidR="006A2F56" w14:paraId="6509D9FD" w14:textId="77777777">
        <w:trPr>
          <w:jc w:val="center"/>
        </w:trPr>
        <w:tc>
          <w:tcPr>
            <w:tcW w:w="2304" w:type="dxa"/>
          </w:tcPr>
          <w:p w14:paraId="1D804C6F" w14:textId="77777777" w:rsidR="006A2F56" w:rsidRDefault="00000000">
            <w:pPr>
              <w:spacing w:line="360" w:lineRule="auto" w:after="60" w:before="0"/>
            </w:pPr>
            <w:r>
              <w:rPr>
                <w:rFonts w:ascii="Times New Roman" w:hAnsi="Times New Roman" w:eastAsia="Times New Roman"/>
                <w:sz w:val="20"/>
              </w:rPr>
              <w:t>Source basis</w:t>
            </w:r>
          </w:p>
        </w:tc>
        <w:tc>
          <w:tcPr>
            <w:tcW w:w="8064" w:type="dxa"/>
            <w:vAlign w:val="top"/>
          </w:tcPr>
          <w:p>
            <w:r/>
            <w:r>
              <w:rPr>
                <w:b w:val="0"/>
                <w:sz w:val="18"/>
              </w:rPr>
              <w:t>System source code, frontend screens, backend API routes, docker-compose.yml, requirements.txt, frontend/package.json, and .env.example.</w:t>
            </w:r>
          </w:p>
        </w:tc>
      </w:tr>
    </w:tbl>
    <w:p w14:paraId="45FCA63C" w14:textId="77777777" w:rsidR="006A2F56" w:rsidRDefault="00000000">
      <w:pPr>
        <w:pStyle w:val="1"/>
        <w:spacing w:line="360" w:lineRule="auto" w:after="60" w:before="0"/>
      </w:pPr>
      <w:r>
        <w:rPr>
          <w:rFonts w:ascii="Times New Roman" w:hAnsi="Times New Roman" w:eastAsia="Times New Roman"/>
          <w:b/>
          <w:sz w:val="26"/>
        </w:rPr>
        <w:t>1. Target Users</w:t>
      </w:r>
    </w:p>
    <w:p w14:paraId="08823826" w14:textId="77777777" w:rsidR="006A2F56" w:rsidRDefault="00000000">
      <w:pPr>
        <w:spacing w:line="360" w:lineRule="auto" w:after="60" w:before="0"/>
      </w:pPr>
      <w:r>
        <w:rPr>
          <w:rFonts w:ascii="Times New Roman" w:hAnsi="Times New Roman" w:eastAsia="Times New Roman"/>
          <w:sz w:val="20"/>
        </w:rPr>
        <w:t>This manual is for operators or assessors using the HVAS web portal to configure video sources, monitor AI events, review evidence, and generate common-space reports.</w:t>
      </w:r>
    </w:p>
    <w:p>
      <w:pPr>
        <w:keepNext/>
        <w:spacing w:before="200" w:after="80"/>
      </w:pPr>
      <w:r/>
      <w:r>
        <w:rPr>
          <w:b/>
          <w:color w:val="1F4E79"/>
          <w:sz w:val="28"/>
        </w:rPr>
        <w:t>2. Deployment and Initial Setup</w:t>
      </w:r>
    </w:p>
    <w:p>
      <w:pPr>
        <w:spacing w:after="80"/>
      </w:pPr>
      <w:r/>
      <w:r>
        <w:rPr>
          <w:b w:val="0"/>
          <w:sz w:val="18"/>
        </w:rPr>
        <w:t>This section describes a clean Windows deployment path for HVAS. The steps assume the operator starts from the project root and uses Docker Desktop for MongoDB and MinIO, Python for the Flask backend, and Node.js/npm for the Vue dashboard.</w:t>
      </w:r>
    </w:p>
    <w:p>
      <w:pPr>
        <w:keepNext/>
        <w:spacing w:before="120" w:after="80"/>
      </w:pPr>
      <w:r/>
      <w:r>
        <w:rPr>
          <w:b/>
          <w:color w:val="1F4E79"/>
          <w:sz w:val="22"/>
        </w:rPr>
        <w:t>2.1 Download and Install Prerequisites</w:t>
      </w:r>
    </w:p>
    <w:tbl>
      <w:tblPr>
        <w:tblStyle w:val="aff1"/>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2592"/>
        <w:gridCol w:w="2592"/>
        <w:gridCol w:w="2592"/>
        <w:gridCol w:w="2592"/>
      </w:tblGrid>
      <w:tr>
        <w:tc>
          <w:tcPr>
            <w:tcW w:type="dxa" w:w="1872"/>
            <w:vAlign w:val="top"/>
            <w:shd w:fill="2F5597"/>
          </w:tcPr>
          <w:p>
            <w:pPr>
              <w:spacing w:after="40"/>
            </w:pPr>
            <w:r>
              <w:rPr>
                <w:b/>
                <w:color w:val="FFFFFF"/>
                <w:sz w:val="18"/>
              </w:rPr>
            </w:r>
            <w:r>
              <w:rPr>
                <w:b/>
                <w:color w:val="FFFFFF"/>
                <w:sz w:val="18"/>
              </w:rPr>
              <w:t>Component</w:t>
            </w:r>
          </w:p>
        </w:tc>
        <w:tc>
          <w:tcPr>
            <w:tcW w:type="dxa" w:w="2736"/>
            <w:vAlign w:val="top"/>
            <w:shd w:fill="2F5597"/>
          </w:tcPr>
          <w:p>
            <w:pPr>
              <w:spacing w:after="40"/>
            </w:pPr>
            <w:r>
              <w:rPr>
                <w:b/>
                <w:color w:val="FFFFFF"/>
                <w:sz w:val="18"/>
              </w:rPr>
            </w:r>
            <w:r>
              <w:rPr>
                <w:b/>
                <w:color w:val="FFFFFF"/>
                <w:sz w:val="18"/>
              </w:rPr>
              <w:t>Where to Get It</w:t>
            </w:r>
          </w:p>
        </w:tc>
        <w:tc>
          <w:tcPr>
            <w:tcW w:type="dxa" w:w="4464"/>
            <w:vAlign w:val="top"/>
            <w:shd w:fill="2F5597"/>
          </w:tcPr>
          <w:p>
            <w:pPr>
              <w:spacing w:after="40"/>
            </w:pPr>
            <w:r>
              <w:rPr>
                <w:b/>
                <w:color w:val="FFFFFF"/>
                <w:sz w:val="18"/>
              </w:rPr>
            </w:r>
            <w:r>
              <w:rPr>
                <w:b/>
                <w:color w:val="FFFFFF"/>
                <w:sz w:val="18"/>
              </w:rPr>
              <w:t>Installation Notes</w:t>
            </w:r>
          </w:p>
        </w:tc>
        <w:tc>
          <w:tcPr>
            <w:tcW w:type="dxa" w:w="2304"/>
            <w:vAlign w:val="top"/>
            <w:shd w:fill="2F5597"/>
          </w:tcPr>
          <w:p>
            <w:pPr>
              <w:spacing w:after="40"/>
            </w:pPr>
            <w:r>
              <w:rPr>
                <w:b/>
                <w:color w:val="FFFFFF"/>
                <w:sz w:val="18"/>
              </w:rPr>
            </w:r>
            <w:r>
              <w:rPr>
                <w:b/>
                <w:color w:val="FFFFFF"/>
                <w:sz w:val="18"/>
              </w:rPr>
              <w:t>Verification</w:t>
            </w:r>
          </w:p>
        </w:tc>
      </w:tr>
      <w:tr>
        <w:tc>
          <w:tcPr>
            <w:tcW w:type="dxa" w:w="1872"/>
            <w:vAlign w:val="top"/>
          </w:tcPr>
          <w:p>
            <w:pPr>
              <w:spacing w:after="40"/>
            </w:pPr>
            <w:r>
              <w:rPr>
                <w:sz w:val="18"/>
              </w:rPr>
            </w:r>
            <w:r>
              <w:rPr>
                <w:b w:val="0"/>
                <w:sz w:val="18"/>
              </w:rPr>
              <w:t>Docker Desktop</w:t>
            </w:r>
          </w:p>
        </w:tc>
        <w:tc>
          <w:tcPr>
            <w:tcW w:type="dxa" w:w="2736"/>
            <w:vAlign w:val="top"/>
          </w:tcPr>
          <w:p>
            <w:pPr>
              <w:spacing w:after="40"/>
            </w:pPr>
            <w:r>
              <w:rPr>
                <w:sz w:val="18"/>
              </w:rPr>
            </w:r>
            <w:r>
              <w:rPr>
                <w:b w:val="0"/>
                <w:sz w:val="18"/>
              </w:rPr>
              <w:t>https://www.docker.com/products/docker-desktop/</w:t>
            </w:r>
          </w:p>
        </w:tc>
        <w:tc>
          <w:tcPr>
            <w:tcW w:type="dxa" w:w="4464"/>
            <w:vAlign w:val="top"/>
          </w:tcPr>
          <w:p>
            <w:pPr>
              <w:spacing w:after="40"/>
            </w:pPr>
            <w:r>
              <w:rPr>
                <w:sz w:val="18"/>
              </w:rPr>
            </w:r>
            <w:r>
              <w:rPr>
                <w:b w:val="0"/>
                <w:sz w:val="18"/>
              </w:rPr>
              <w:t>Install Docker Desktop for Windows. Enable WSL 2/virtualization if the installer prompts for it. Start Docker Desktop before running infrastructure commands.</w:t>
            </w:r>
          </w:p>
        </w:tc>
        <w:tc>
          <w:tcPr>
            <w:tcW w:type="dxa" w:w="2304"/>
            <w:vAlign w:val="top"/>
          </w:tcPr>
          <w:p>
            <w:pPr>
              <w:spacing w:after="40"/>
            </w:pPr>
            <w:r>
              <w:rPr>
                <w:sz w:val="18"/>
              </w:rPr>
            </w:r>
            <w:r>
              <w:rPr>
                <w:b w:val="0"/>
                <w:sz w:val="18"/>
              </w:rPr>
              <w:t>docker --version</w:t>
              <w:br/>
              <w:t>docker compose version</w:t>
            </w:r>
          </w:p>
        </w:tc>
      </w:tr>
      <w:tr>
        <w:tc>
          <w:tcPr>
            <w:tcW w:type="dxa" w:w="1872"/>
            <w:vAlign w:val="top"/>
            <w:shd w:fill="F3F6FA"/>
          </w:tcPr>
          <w:p>
            <w:pPr>
              <w:spacing w:after="40"/>
            </w:pPr>
            <w:r>
              <w:rPr>
                <w:sz w:val="18"/>
              </w:rPr>
            </w:r>
            <w:r>
              <w:rPr>
                <w:b w:val="0"/>
                <w:sz w:val="18"/>
              </w:rPr>
              <w:t>Python</w:t>
            </w:r>
          </w:p>
        </w:tc>
        <w:tc>
          <w:tcPr>
            <w:tcW w:type="dxa" w:w="2736"/>
            <w:vAlign w:val="top"/>
            <w:shd w:fill="F3F6FA"/>
          </w:tcPr>
          <w:p>
            <w:pPr>
              <w:spacing w:after="40"/>
            </w:pPr>
            <w:r>
              <w:rPr>
                <w:sz w:val="18"/>
              </w:rPr>
            </w:r>
            <w:r>
              <w:rPr>
                <w:b w:val="0"/>
                <w:sz w:val="18"/>
              </w:rPr>
              <w:t>https://www.python.org/downloads/windows/</w:t>
            </w:r>
          </w:p>
        </w:tc>
        <w:tc>
          <w:tcPr>
            <w:tcW w:type="dxa" w:w="4464"/>
            <w:vAlign w:val="top"/>
            <w:shd w:fill="F3F6FA"/>
          </w:tcPr>
          <w:p>
            <w:pPr>
              <w:spacing w:after="40"/>
            </w:pPr>
            <w:r>
              <w:rPr>
                <w:sz w:val="18"/>
              </w:rPr>
            </w:r>
            <w:r>
              <w:rPr>
                <w:b w:val="0"/>
                <w:sz w:val="18"/>
              </w:rPr>
              <w:t>Install a project-compatible Python version. Select Add python.exe to PATH during installation, then reopen the terminal.</w:t>
            </w:r>
          </w:p>
        </w:tc>
        <w:tc>
          <w:tcPr>
            <w:tcW w:type="dxa" w:w="2304"/>
            <w:vAlign w:val="top"/>
            <w:shd w:fill="F3F6FA"/>
          </w:tcPr>
          <w:p>
            <w:pPr>
              <w:spacing w:after="40"/>
            </w:pPr>
            <w:r>
              <w:rPr>
                <w:sz w:val="18"/>
              </w:rPr>
            </w:r>
            <w:r>
              <w:rPr>
                <w:b w:val="0"/>
                <w:sz w:val="18"/>
              </w:rPr>
              <w:t>python --version</w:t>
              <w:br/>
              <w:t>pip --version</w:t>
            </w:r>
          </w:p>
        </w:tc>
      </w:tr>
      <w:tr>
        <w:tc>
          <w:tcPr>
            <w:tcW w:type="dxa" w:w="1872"/>
            <w:vAlign w:val="top"/>
          </w:tcPr>
          <w:p>
            <w:pPr>
              <w:spacing w:after="40"/>
            </w:pPr>
            <w:r>
              <w:rPr>
                <w:sz w:val="18"/>
              </w:rPr>
            </w:r>
            <w:r>
              <w:rPr>
                <w:b w:val="0"/>
                <w:sz w:val="18"/>
              </w:rPr>
              <w:t>Node.js and npm</w:t>
            </w:r>
          </w:p>
        </w:tc>
        <w:tc>
          <w:tcPr>
            <w:tcW w:type="dxa" w:w="2736"/>
            <w:vAlign w:val="top"/>
          </w:tcPr>
          <w:p>
            <w:pPr>
              <w:spacing w:after="40"/>
            </w:pPr>
            <w:r>
              <w:rPr>
                <w:sz w:val="18"/>
              </w:rPr>
            </w:r>
            <w:r>
              <w:rPr>
                <w:b w:val="0"/>
                <w:sz w:val="18"/>
              </w:rPr>
              <w:t>https://nodejs.org/</w:t>
            </w:r>
          </w:p>
        </w:tc>
        <w:tc>
          <w:tcPr>
            <w:tcW w:type="dxa" w:w="4464"/>
            <w:vAlign w:val="top"/>
          </w:tcPr>
          <w:p>
            <w:pPr>
              <w:spacing w:after="40"/>
            </w:pPr>
            <w:r>
              <w:rPr>
                <w:sz w:val="18"/>
              </w:rPr>
            </w:r>
            <w:r>
              <w:rPr>
                <w:b w:val="0"/>
                <w:sz w:val="18"/>
              </w:rPr>
              <w:t>Install the LTS release if npm is not already available. The Vue dashboard and upload service use npm scripts from frontend/package.json.</w:t>
            </w:r>
          </w:p>
        </w:tc>
        <w:tc>
          <w:tcPr>
            <w:tcW w:type="dxa" w:w="2304"/>
            <w:vAlign w:val="top"/>
          </w:tcPr>
          <w:p>
            <w:pPr>
              <w:spacing w:after="40"/>
            </w:pPr>
            <w:r>
              <w:rPr>
                <w:sz w:val="18"/>
              </w:rPr>
            </w:r>
            <w:r>
              <w:rPr>
                <w:b w:val="0"/>
                <w:sz w:val="18"/>
              </w:rPr>
              <w:t>node --version</w:t>
              <w:br/>
              <w:t>npm --version</w:t>
            </w:r>
          </w:p>
        </w:tc>
      </w:tr>
      <w:tr>
        <w:tc>
          <w:tcPr>
            <w:tcW w:type="dxa" w:w="1872"/>
            <w:vAlign w:val="top"/>
            <w:shd w:fill="F3F6FA"/>
          </w:tcPr>
          <w:p>
            <w:pPr>
              <w:spacing w:after="40"/>
            </w:pPr>
            <w:r>
              <w:rPr>
                <w:sz w:val="18"/>
              </w:rPr>
            </w:r>
            <w:r>
              <w:rPr>
                <w:b w:val="0"/>
                <w:sz w:val="18"/>
              </w:rPr>
              <w:t>Git or project archive</w:t>
            </w:r>
          </w:p>
        </w:tc>
        <w:tc>
          <w:tcPr>
            <w:tcW w:type="dxa" w:w="2736"/>
            <w:vAlign w:val="top"/>
            <w:shd w:fill="F3F6FA"/>
          </w:tcPr>
          <w:p>
            <w:pPr>
              <w:spacing w:after="40"/>
            </w:pPr>
            <w:r>
              <w:rPr>
                <w:sz w:val="18"/>
              </w:rPr>
            </w:r>
            <w:r>
              <w:rPr>
                <w:b w:val="0"/>
                <w:sz w:val="18"/>
              </w:rPr>
              <w:t>Existing repository or delivered zip package</w:t>
            </w:r>
          </w:p>
        </w:tc>
        <w:tc>
          <w:tcPr>
            <w:tcW w:type="dxa" w:w="4464"/>
            <w:vAlign w:val="top"/>
            <w:shd w:fill="F3F6FA"/>
          </w:tcPr>
          <w:p>
            <w:pPr>
              <w:spacing w:after="40"/>
            </w:pPr>
            <w:r>
              <w:rPr>
                <w:sz w:val="18"/>
              </w:rPr>
            </w:r>
            <w:r>
              <w:rPr>
                <w:b w:val="0"/>
                <w:sz w:val="18"/>
              </w:rPr>
              <w:t>Use Git clone or extract the delivered archive. Open PowerShell in the project root before running the following commands.</w:t>
            </w:r>
          </w:p>
        </w:tc>
        <w:tc>
          <w:tcPr>
            <w:tcW w:type="dxa" w:w="2304"/>
            <w:vAlign w:val="top"/>
            <w:shd w:fill="F3F6FA"/>
          </w:tcPr>
          <w:p>
            <w:pPr>
              <w:spacing w:after="40"/>
            </w:pPr>
            <w:r>
              <w:rPr>
                <w:sz w:val="18"/>
              </w:rPr>
            </w:r>
            <w:r>
              <w:rPr>
                <w:b w:val="0"/>
                <w:sz w:val="18"/>
              </w:rPr>
              <w:t>dir docker-compose.yml</w:t>
              <w:br/>
              <w:t>dir .env.example</w:t>
            </w:r>
          </w:p>
        </w:tc>
      </w:tr>
    </w:tbl>
    <w:p>
      <w:pPr>
        <w:keepNext/>
        <w:pageBreakBefore/>
        <w:spacing w:before="120" w:after="80"/>
      </w:pPr>
      <w:r/>
      <w:r>
        <w:rPr>
          <w:b/>
          <w:color w:val="1F4E79"/>
          <w:sz w:val="22"/>
        </w:rPr>
        <w:t>2.2 Install Project Dependencies</w:t>
      </w:r>
    </w:p>
    <w:p>
      <w:pPr>
        <w:spacing w:after="80"/>
      </w:pPr>
      <w:r/>
      <w:r>
        <w:rPr>
          <w:b w:val="0"/>
          <w:sz w:val="18"/>
        </w:rPr>
        <w:t>Run the backend dependency installation from the project root:</w:t>
      </w:r>
    </w:p>
    <w:tbl>
      <w:tblPr>
        <w:tblStyle w:val="aff1"/>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456"/>
        <w:gridCol w:w="3456"/>
        <w:gridCol w:w="3456"/>
      </w:tblGrid>
      <w:tr>
        <w:tc>
          <w:tcPr>
            <w:tcW w:type="dxa" w:w="2160"/>
            <w:vAlign w:val="top"/>
            <w:shd w:fill="2F5597"/>
          </w:tcPr>
          <w:p>
            <w:pPr>
              <w:spacing w:after="40"/>
            </w:pPr>
            <w:r>
              <w:rPr>
                <w:b/>
                <w:color w:val="FFFFFF"/>
                <w:sz w:val="18"/>
              </w:rPr>
            </w:r>
            <w:r>
              <w:rPr>
                <w:b/>
                <w:color w:val="FFFFFF"/>
                <w:sz w:val="18"/>
              </w:rPr>
              <w:t>Step</w:t>
            </w:r>
          </w:p>
        </w:tc>
        <w:tc>
          <w:tcPr>
            <w:tcW w:type="dxa" w:w="3744"/>
            <w:vAlign w:val="top"/>
            <w:shd w:fill="2F5597"/>
          </w:tcPr>
          <w:p>
            <w:pPr>
              <w:spacing w:after="40"/>
            </w:pPr>
            <w:r>
              <w:rPr>
                <w:b/>
                <w:color w:val="FFFFFF"/>
                <w:sz w:val="18"/>
              </w:rPr>
            </w:r>
            <w:r>
              <w:rPr>
                <w:b/>
                <w:color w:val="FFFFFF"/>
                <w:sz w:val="18"/>
              </w:rPr>
              <w:t>PowerShell Command</w:t>
            </w:r>
          </w:p>
        </w:tc>
        <w:tc>
          <w:tcPr>
            <w:tcW w:type="dxa" w:w="4896"/>
            <w:vAlign w:val="top"/>
            <w:shd w:fill="2F5597"/>
          </w:tcPr>
          <w:p>
            <w:pPr>
              <w:spacing w:after="40"/>
            </w:pPr>
            <w:r>
              <w:rPr>
                <w:b/>
                <w:color w:val="FFFFFF"/>
                <w:sz w:val="18"/>
              </w:rPr>
            </w:r>
            <w:r>
              <w:rPr>
                <w:b/>
                <w:color w:val="FFFFFF"/>
                <w:sz w:val="18"/>
              </w:rPr>
              <w:t>Purpose</w:t>
            </w:r>
          </w:p>
        </w:tc>
      </w:tr>
      <w:tr>
        <w:tc>
          <w:tcPr>
            <w:tcW w:type="dxa" w:w="2160"/>
            <w:vAlign w:val="top"/>
          </w:tcPr>
          <w:p>
            <w:pPr>
              <w:spacing w:after="40"/>
            </w:pPr>
            <w:r>
              <w:rPr>
                <w:sz w:val="18"/>
              </w:rPr>
            </w:r>
            <w:r>
              <w:rPr>
                <w:b w:val="0"/>
                <w:sz w:val="18"/>
              </w:rPr>
              <w:t>Create virtual environment</w:t>
            </w:r>
          </w:p>
        </w:tc>
        <w:tc>
          <w:tcPr>
            <w:tcW w:type="dxa" w:w="3744"/>
            <w:vAlign w:val="top"/>
          </w:tcPr>
          <w:p>
            <w:pPr>
              <w:spacing w:after="40"/>
            </w:pPr>
            <w:r>
              <w:rPr>
                <w:sz w:val="18"/>
              </w:rPr>
            </w:r>
            <w:r>
              <w:rPr>
                <w:b w:val="0"/>
                <w:sz w:val="18"/>
              </w:rPr>
              <w:t>python -m venv venv</w:t>
            </w:r>
          </w:p>
        </w:tc>
        <w:tc>
          <w:tcPr>
            <w:tcW w:type="dxa" w:w="4896"/>
            <w:vAlign w:val="top"/>
          </w:tcPr>
          <w:p>
            <w:pPr>
              <w:spacing w:after="40"/>
            </w:pPr>
            <w:r>
              <w:rPr>
                <w:sz w:val="18"/>
              </w:rPr>
            </w:r>
            <w:r>
              <w:rPr>
                <w:b w:val="0"/>
                <w:sz w:val="18"/>
              </w:rPr>
              <w:t>Keeps project Python packages isolated.</w:t>
            </w:r>
          </w:p>
        </w:tc>
      </w:tr>
      <w:tr>
        <w:tc>
          <w:tcPr>
            <w:tcW w:type="dxa" w:w="2160"/>
            <w:vAlign w:val="top"/>
            <w:shd w:fill="F3F6FA"/>
          </w:tcPr>
          <w:p>
            <w:pPr>
              <w:spacing w:after="40"/>
            </w:pPr>
            <w:r>
              <w:rPr>
                <w:sz w:val="18"/>
              </w:rPr>
            </w:r>
            <w:r>
              <w:rPr>
                <w:b w:val="0"/>
                <w:sz w:val="18"/>
              </w:rPr>
              <w:t>Activate virtual environment</w:t>
            </w:r>
          </w:p>
        </w:tc>
        <w:tc>
          <w:tcPr>
            <w:tcW w:type="dxa" w:w="3744"/>
            <w:vAlign w:val="top"/>
            <w:shd w:fill="F3F6FA"/>
          </w:tcPr>
          <w:p>
            <w:pPr>
              <w:spacing w:after="40"/>
            </w:pPr>
            <w:r>
              <w:rPr>
                <w:sz w:val="18"/>
              </w:rPr>
            </w:r>
            <w:r>
              <w:rPr>
                <w:b w:val="0"/>
                <w:sz w:val="18"/>
              </w:rPr>
              <w:t>.\venv\Scripts\activate</w:t>
            </w:r>
          </w:p>
        </w:tc>
        <w:tc>
          <w:tcPr>
            <w:tcW w:type="dxa" w:w="4896"/>
            <w:vAlign w:val="top"/>
            <w:shd w:fill="F3F6FA"/>
          </w:tcPr>
          <w:p>
            <w:pPr>
              <w:spacing w:after="40"/>
            </w:pPr>
            <w:r>
              <w:rPr>
                <w:sz w:val="18"/>
              </w:rPr>
            </w:r>
            <w:r>
              <w:rPr>
                <w:b w:val="0"/>
                <w:sz w:val="18"/>
              </w:rPr>
              <w:t>Ensures pip installs into the project environment.</w:t>
            </w:r>
          </w:p>
        </w:tc>
      </w:tr>
      <w:tr>
        <w:tc>
          <w:tcPr>
            <w:tcW w:type="dxa" w:w="2160"/>
            <w:vAlign w:val="top"/>
          </w:tcPr>
          <w:p>
            <w:pPr>
              <w:spacing w:after="40"/>
            </w:pPr>
            <w:r>
              <w:rPr>
                <w:sz w:val="18"/>
              </w:rPr>
            </w:r>
            <w:r>
              <w:rPr>
                <w:b w:val="0"/>
                <w:sz w:val="18"/>
              </w:rPr>
              <w:t>Upgrade pip</w:t>
            </w:r>
          </w:p>
        </w:tc>
        <w:tc>
          <w:tcPr>
            <w:tcW w:type="dxa" w:w="3744"/>
            <w:vAlign w:val="top"/>
          </w:tcPr>
          <w:p>
            <w:pPr>
              <w:spacing w:after="40"/>
            </w:pPr>
            <w:r>
              <w:rPr>
                <w:sz w:val="18"/>
              </w:rPr>
            </w:r>
            <w:r>
              <w:rPr>
                <w:b w:val="0"/>
                <w:sz w:val="18"/>
              </w:rPr>
              <w:t>python -m pip install --upgrade pip</w:t>
            </w:r>
          </w:p>
        </w:tc>
        <w:tc>
          <w:tcPr>
            <w:tcW w:type="dxa" w:w="4896"/>
            <w:vAlign w:val="top"/>
          </w:tcPr>
          <w:p>
            <w:pPr>
              <w:spacing w:after="40"/>
            </w:pPr>
            <w:r>
              <w:rPr>
                <w:sz w:val="18"/>
              </w:rPr>
            </w:r>
            <w:r>
              <w:rPr>
                <w:b w:val="0"/>
                <w:sz w:val="18"/>
              </w:rPr>
              <w:t>Reduces dependency installation failures.</w:t>
            </w:r>
          </w:p>
        </w:tc>
      </w:tr>
      <w:tr>
        <w:tc>
          <w:tcPr>
            <w:tcW w:type="dxa" w:w="2160"/>
            <w:vAlign w:val="top"/>
            <w:shd w:fill="F3F6FA"/>
          </w:tcPr>
          <w:p>
            <w:pPr>
              <w:spacing w:after="40"/>
            </w:pPr>
            <w:r>
              <w:rPr>
                <w:sz w:val="18"/>
              </w:rPr>
            </w:r>
            <w:r>
              <w:rPr>
                <w:b w:val="0"/>
                <w:sz w:val="18"/>
              </w:rPr>
              <w:t>Install backend packages</w:t>
            </w:r>
          </w:p>
        </w:tc>
        <w:tc>
          <w:tcPr>
            <w:tcW w:type="dxa" w:w="3744"/>
            <w:vAlign w:val="top"/>
            <w:shd w:fill="F3F6FA"/>
          </w:tcPr>
          <w:p>
            <w:pPr>
              <w:spacing w:after="40"/>
            </w:pPr>
            <w:r>
              <w:rPr>
                <w:sz w:val="18"/>
              </w:rPr>
            </w:r>
            <w:r>
              <w:rPr>
                <w:b w:val="0"/>
                <w:sz w:val="18"/>
              </w:rPr>
              <w:t>pip install -r requirements.txt</w:t>
            </w:r>
          </w:p>
        </w:tc>
        <w:tc>
          <w:tcPr>
            <w:tcW w:type="dxa" w:w="4896"/>
            <w:vAlign w:val="top"/>
            <w:shd w:fill="F3F6FA"/>
          </w:tcPr>
          <w:p>
            <w:pPr>
              <w:spacing w:after="40"/>
            </w:pPr>
            <w:r>
              <w:rPr>
                <w:sz w:val="18"/>
              </w:rPr>
            </w:r>
            <w:r>
              <w:rPr>
                <w:b w:val="0"/>
                <w:sz w:val="18"/>
              </w:rPr>
              <w:t>Installs Flask, OpenCV, Ultralytics YOLO, MongoDB, MinIO, requests, dotenv, and watchdog dependencies.</w:t>
            </w:r>
          </w:p>
        </w:tc>
      </w:tr>
      <w:tr>
        <w:tc>
          <w:tcPr>
            <w:tcW w:type="dxa" w:w="2160"/>
            <w:vAlign w:val="top"/>
          </w:tcPr>
          <w:p>
            <w:pPr>
              <w:spacing w:after="40"/>
            </w:pPr>
            <w:r>
              <w:rPr>
                <w:sz w:val="18"/>
              </w:rPr>
            </w:r>
            <w:r>
              <w:rPr>
                <w:b w:val="0"/>
                <w:sz w:val="18"/>
              </w:rPr>
              <w:t>Optional CUDA torch</w:t>
            </w:r>
          </w:p>
        </w:tc>
        <w:tc>
          <w:tcPr>
            <w:tcW w:type="dxa" w:w="3744"/>
            <w:vAlign w:val="top"/>
          </w:tcPr>
          <w:p>
            <w:pPr>
              <w:spacing w:after="40"/>
            </w:pPr>
            <w:r>
              <w:rPr>
                <w:sz w:val="18"/>
              </w:rPr>
            </w:r>
            <w:r>
              <w:rPr>
                <w:b w:val="0"/>
                <w:sz w:val="18"/>
              </w:rPr>
              <w:t>pip install torch torchvision --index-url https://download.pytorch.org/whl/cu121</w:t>
            </w:r>
          </w:p>
        </w:tc>
        <w:tc>
          <w:tcPr>
            <w:tcW w:type="dxa" w:w="4896"/>
            <w:vAlign w:val="top"/>
          </w:tcPr>
          <w:p>
            <w:pPr>
              <w:spacing w:after="40"/>
            </w:pPr>
            <w:r>
              <w:rPr>
                <w:sz w:val="18"/>
              </w:rPr>
            </w:r>
            <w:r>
              <w:rPr>
                <w:b w:val="0"/>
                <w:sz w:val="18"/>
              </w:rPr>
              <w:t>Use only when the deployment machine has a compatible NVIDIA GPU and CUDA runtime.</w:t>
            </w:r>
          </w:p>
        </w:tc>
      </w:tr>
      <w:tr>
        <w:tc>
          <w:tcPr>
            <w:tcW w:type="dxa" w:w="2160"/>
            <w:vAlign w:val="top"/>
            <w:shd w:fill="F3F6FA"/>
          </w:tcPr>
          <w:p>
            <w:pPr>
              <w:spacing w:after="40"/>
            </w:pPr>
            <w:r>
              <w:rPr>
                <w:sz w:val="18"/>
              </w:rPr>
            </w:r>
            <w:r>
              <w:rPr>
                <w:b w:val="0"/>
                <w:sz w:val="18"/>
              </w:rPr>
              <w:t>Install frontend packages</w:t>
            </w:r>
          </w:p>
        </w:tc>
        <w:tc>
          <w:tcPr>
            <w:tcW w:type="dxa" w:w="3744"/>
            <w:vAlign w:val="top"/>
            <w:shd w:fill="F3F6FA"/>
          </w:tcPr>
          <w:p>
            <w:pPr>
              <w:spacing w:after="40"/>
            </w:pPr>
            <w:r>
              <w:rPr>
                <w:sz w:val="18"/>
              </w:rPr>
            </w:r>
            <w:r>
              <w:rPr>
                <w:b w:val="0"/>
                <w:sz w:val="18"/>
              </w:rPr>
              <w:t>cd frontend</w:t>
              <w:br/>
              <w:t>npm install</w:t>
              <w:br/>
              <w:t>cd ..</w:t>
            </w:r>
          </w:p>
        </w:tc>
        <w:tc>
          <w:tcPr>
            <w:tcW w:type="dxa" w:w="4896"/>
            <w:vAlign w:val="top"/>
            <w:shd w:fill="F3F6FA"/>
          </w:tcPr>
          <w:p>
            <w:pPr>
              <w:spacing w:after="40"/>
            </w:pPr>
            <w:r>
              <w:rPr>
                <w:sz w:val="18"/>
              </w:rPr>
            </w:r>
            <w:r>
              <w:rPr>
                <w:b w:val="0"/>
                <w:sz w:val="18"/>
              </w:rPr>
              <w:t>Installs Vue, Vite, axios, three/globe.gl, Express, MongoDB driver, and multer.</w:t>
            </w:r>
          </w:p>
        </w:tc>
      </w:tr>
    </w:tbl>
    <w:p>
      <w:pPr>
        <w:keepNext/>
        <w:pageBreakBefore/>
        <w:spacing w:before="120" w:after="80"/>
      </w:pPr>
      <w:r/>
      <w:r>
        <w:rPr>
          <w:b/>
          <w:color w:val="1F4E79"/>
          <w:sz w:val="22"/>
        </w:rPr>
        <w:t>2.3 Configure .env from .env.example</w:t>
      </w:r>
    </w:p>
    <w:p>
      <w:pPr>
        <w:spacing w:after="80"/>
      </w:pPr>
      <w:r/>
      <w:r>
        <w:rPr>
          <w:b w:val="0"/>
          <w:sz w:val="18"/>
        </w:rPr>
        <w:t>Create a local .env file from the template and fill in deployment-specific API keys and secrets. Do not commit .env to source control.</w:t>
      </w:r>
    </w:p>
    <w:tbl>
      <w:tblPr>
        <w:tblStyle w:val="aff1"/>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456"/>
        <w:gridCol w:w="3456"/>
        <w:gridCol w:w="3456"/>
      </w:tblGrid>
      <w:tr>
        <w:tc>
          <w:tcPr>
            <w:tcW w:type="dxa" w:w="2088"/>
            <w:vAlign w:val="top"/>
            <w:shd w:fill="2F5597"/>
          </w:tcPr>
          <w:p>
            <w:pPr>
              <w:spacing w:after="40"/>
            </w:pPr>
            <w:r>
              <w:rPr>
                <w:b/>
                <w:color w:val="FFFFFF"/>
                <w:sz w:val="18"/>
              </w:rPr>
            </w:r>
            <w:r>
              <w:rPr>
                <w:b/>
                <w:color w:val="FFFFFF"/>
                <w:sz w:val="18"/>
              </w:rPr>
              <w:t>Step</w:t>
            </w:r>
          </w:p>
        </w:tc>
        <w:tc>
          <w:tcPr>
            <w:tcW w:type="dxa" w:w="3960"/>
            <w:vAlign w:val="top"/>
            <w:shd w:fill="2F5597"/>
          </w:tcPr>
          <w:p>
            <w:pPr>
              <w:spacing w:after="40"/>
            </w:pPr>
            <w:r>
              <w:rPr>
                <w:b/>
                <w:color w:val="FFFFFF"/>
                <w:sz w:val="18"/>
              </w:rPr>
            </w:r>
            <w:r>
              <w:rPr>
                <w:b/>
                <w:color w:val="FFFFFF"/>
                <w:sz w:val="18"/>
              </w:rPr>
              <w:t>PowerShell Command or Setting</w:t>
            </w:r>
          </w:p>
        </w:tc>
        <w:tc>
          <w:tcPr>
            <w:tcW w:type="dxa" w:w="4680"/>
            <w:vAlign w:val="top"/>
            <w:shd w:fill="2F5597"/>
          </w:tcPr>
          <w:p>
            <w:pPr>
              <w:spacing w:after="40"/>
            </w:pPr>
            <w:r>
              <w:rPr>
                <w:b/>
                <w:color w:val="FFFFFF"/>
                <w:sz w:val="18"/>
              </w:rPr>
            </w:r>
            <w:r>
              <w:rPr>
                <w:b/>
                <w:color w:val="FFFFFF"/>
                <w:sz w:val="18"/>
              </w:rPr>
              <w:t>Notes</w:t>
            </w:r>
          </w:p>
        </w:tc>
      </w:tr>
      <w:tr>
        <w:tc>
          <w:tcPr>
            <w:tcW w:type="dxa" w:w="2088"/>
            <w:vAlign w:val="top"/>
          </w:tcPr>
          <w:p>
            <w:pPr>
              <w:spacing w:after="40"/>
            </w:pPr>
            <w:r>
              <w:rPr>
                <w:sz w:val="18"/>
              </w:rPr>
            </w:r>
            <w:r>
              <w:rPr>
                <w:b w:val="0"/>
                <w:sz w:val="18"/>
              </w:rPr>
              <w:t>Copy template</w:t>
            </w:r>
          </w:p>
        </w:tc>
        <w:tc>
          <w:tcPr>
            <w:tcW w:type="dxa" w:w="3960"/>
            <w:vAlign w:val="top"/>
          </w:tcPr>
          <w:p>
            <w:pPr>
              <w:spacing w:after="40"/>
            </w:pPr>
            <w:r>
              <w:rPr>
                <w:sz w:val="18"/>
              </w:rPr>
            </w:r>
            <w:r>
              <w:rPr>
                <w:b w:val="0"/>
                <w:sz w:val="18"/>
              </w:rPr>
              <w:t>Copy-Item .env.example .env</w:t>
            </w:r>
          </w:p>
        </w:tc>
        <w:tc>
          <w:tcPr>
            <w:tcW w:type="dxa" w:w="4680"/>
            <w:vAlign w:val="top"/>
          </w:tcPr>
          <w:p>
            <w:pPr>
              <w:spacing w:after="40"/>
            </w:pPr>
            <w:r>
              <w:rPr>
                <w:sz w:val="18"/>
              </w:rPr>
            </w:r>
            <w:r>
              <w:rPr>
                <w:b w:val="0"/>
                <w:sz w:val="18"/>
              </w:rPr>
              <w:t>Use the template as the starting point for all local configuration.</w:t>
            </w:r>
          </w:p>
        </w:tc>
      </w:tr>
      <w:tr>
        <w:tc>
          <w:tcPr>
            <w:tcW w:type="dxa" w:w="2088"/>
            <w:vAlign w:val="top"/>
            <w:shd w:fill="F3F6FA"/>
          </w:tcPr>
          <w:p>
            <w:pPr>
              <w:spacing w:after="40"/>
            </w:pPr>
            <w:r>
              <w:rPr>
                <w:sz w:val="18"/>
              </w:rPr>
            </w:r>
            <w:r>
              <w:rPr>
                <w:b w:val="0"/>
                <w:sz w:val="18"/>
              </w:rPr>
              <w:t>Set webhook secret</w:t>
            </w:r>
          </w:p>
        </w:tc>
        <w:tc>
          <w:tcPr>
            <w:tcW w:type="dxa" w:w="3960"/>
            <w:vAlign w:val="top"/>
            <w:shd w:fill="F3F6FA"/>
          </w:tcPr>
          <w:p>
            <w:pPr>
              <w:spacing w:after="40"/>
            </w:pPr>
            <w:r>
              <w:rPr>
                <w:sz w:val="18"/>
              </w:rPr>
            </w:r>
            <w:r>
              <w:rPr>
                <w:b w:val="0"/>
                <w:sz w:val="18"/>
              </w:rPr>
              <w:t>WEBHOOK_SECRET=&lt;strong-shared-secret&gt;</w:t>
            </w:r>
          </w:p>
        </w:tc>
        <w:tc>
          <w:tcPr>
            <w:tcW w:type="dxa" w:w="4680"/>
            <w:vAlign w:val="top"/>
            <w:shd w:fill="F3F6FA"/>
          </w:tcPr>
          <w:p>
            <w:pPr>
              <w:spacing w:after="40"/>
            </w:pPr>
            <w:r>
              <w:rPr>
                <w:sz w:val="18"/>
              </w:rPr>
            </w:r>
            <w:r>
              <w:rPr>
                <w:b w:val="0"/>
                <w:sz w:val="18"/>
              </w:rPr>
              <w:t>Required when ENABLE_WEBHOOKS=true. The receiving MUBS/webhook system must use the same HMAC secret.</w:t>
            </w:r>
          </w:p>
        </w:tc>
      </w:tr>
      <w:tr>
        <w:tc>
          <w:tcPr>
            <w:tcW w:type="dxa" w:w="2088"/>
            <w:vAlign w:val="top"/>
          </w:tcPr>
          <w:p>
            <w:pPr>
              <w:spacing w:after="40"/>
            </w:pPr>
            <w:r>
              <w:rPr>
                <w:sz w:val="18"/>
              </w:rPr>
            </w:r>
            <w:r>
              <w:rPr>
                <w:b w:val="0"/>
                <w:sz w:val="18"/>
              </w:rPr>
              <w:t>Set Qwen report key</w:t>
            </w:r>
          </w:p>
        </w:tc>
        <w:tc>
          <w:tcPr>
            <w:tcW w:type="dxa" w:w="3960"/>
            <w:vAlign w:val="top"/>
          </w:tcPr>
          <w:p>
            <w:pPr>
              <w:spacing w:after="40"/>
            </w:pPr>
            <w:r>
              <w:rPr>
                <w:sz w:val="18"/>
              </w:rPr>
            </w:r>
            <w:r>
              <w:rPr>
                <w:b w:val="0"/>
                <w:sz w:val="18"/>
              </w:rPr>
              <w:t>QWEN_REPORT_API_KEY=&lt;your DashScope key&gt;</w:t>
            </w:r>
          </w:p>
        </w:tc>
        <w:tc>
          <w:tcPr>
            <w:tcW w:type="dxa" w:w="4680"/>
            <w:vAlign w:val="top"/>
          </w:tcPr>
          <w:p>
            <w:pPr>
              <w:spacing w:after="40"/>
            </w:pPr>
            <w:r>
              <w:rPr>
                <w:sz w:val="18"/>
              </w:rPr>
            </w:r>
            <w:r>
              <w:rPr>
                <w:b w:val="0"/>
                <w:sz w:val="18"/>
              </w:rPr>
              <w:t>Required for LLM-based common-space reports. QWEN_REPORT_API_URL defaults to the DashScope OpenAI-compatible endpoint in .env.example.</w:t>
            </w:r>
          </w:p>
        </w:tc>
      </w:tr>
      <w:tr>
        <w:tc>
          <w:tcPr>
            <w:tcW w:type="dxa" w:w="2088"/>
            <w:vAlign w:val="top"/>
            <w:shd w:fill="F3F6FA"/>
          </w:tcPr>
          <w:p>
            <w:pPr>
              <w:spacing w:after="40"/>
            </w:pPr>
            <w:r>
              <w:rPr>
                <w:sz w:val="18"/>
              </w:rPr>
            </w:r>
            <w:r>
              <w:rPr>
                <w:b w:val="0"/>
                <w:sz w:val="18"/>
              </w:rPr>
              <w:t>Set Qwen-VL key if used</w:t>
            </w:r>
          </w:p>
        </w:tc>
        <w:tc>
          <w:tcPr>
            <w:tcW w:type="dxa" w:w="3960"/>
            <w:vAlign w:val="top"/>
            <w:shd w:fill="F3F6FA"/>
          </w:tcPr>
          <w:p>
            <w:pPr>
              <w:spacing w:after="40"/>
            </w:pPr>
            <w:r>
              <w:rPr>
                <w:sz w:val="18"/>
              </w:rPr>
            </w:r>
            <w:r>
              <w:rPr>
                <w:b w:val="0"/>
                <w:sz w:val="18"/>
              </w:rPr>
              <w:t>QWEN_VL_API_KEY=&lt;your DashScope key&gt;</w:t>
            </w:r>
          </w:p>
        </w:tc>
        <w:tc>
          <w:tcPr>
            <w:tcW w:type="dxa" w:w="4680"/>
            <w:vAlign w:val="top"/>
            <w:shd w:fill="F3F6FA"/>
          </w:tcPr>
          <w:p>
            <w:pPr>
              <w:spacing w:after="40"/>
            </w:pPr>
            <w:r>
              <w:rPr>
                <w:sz w:val="18"/>
              </w:rPr>
            </w:r>
            <w:r>
              <w:rPr>
                <w:b w:val="0"/>
                <w:sz w:val="18"/>
              </w:rPr>
              <w:t>Needed when smoke/fire secondary verification or visual common-space analysis depends on Qwen-VL environment configuration.</w:t>
            </w:r>
          </w:p>
        </w:tc>
      </w:tr>
      <w:tr>
        <w:tc>
          <w:tcPr>
            <w:tcW w:type="dxa" w:w="2088"/>
            <w:vAlign w:val="top"/>
          </w:tcPr>
          <w:p>
            <w:pPr>
              <w:spacing w:after="40"/>
            </w:pPr>
            <w:r>
              <w:rPr>
                <w:sz w:val="18"/>
              </w:rPr>
            </w:r>
            <w:r>
              <w:rPr>
                <w:b w:val="0"/>
                <w:sz w:val="18"/>
              </w:rPr>
              <w:t>Choose inference device</w:t>
            </w:r>
          </w:p>
        </w:tc>
        <w:tc>
          <w:tcPr>
            <w:tcW w:type="dxa" w:w="3960"/>
            <w:vAlign w:val="top"/>
          </w:tcPr>
          <w:p>
            <w:pPr>
              <w:spacing w:after="40"/>
            </w:pPr>
            <w:r>
              <w:rPr>
                <w:sz w:val="18"/>
              </w:rPr>
            </w:r>
            <w:r>
              <w:rPr>
                <w:b w:val="0"/>
                <w:sz w:val="18"/>
              </w:rPr>
              <w:t>YOLO_DEVICE=cuda or YOLO_DEVICE=cpu</w:t>
            </w:r>
          </w:p>
        </w:tc>
        <w:tc>
          <w:tcPr>
            <w:tcW w:type="dxa" w:w="4680"/>
            <w:vAlign w:val="top"/>
          </w:tcPr>
          <w:p>
            <w:pPr>
              <w:spacing w:after="40"/>
            </w:pPr>
            <w:r>
              <w:rPr>
                <w:sz w:val="18"/>
              </w:rPr>
            </w:r>
            <w:r>
              <w:rPr>
                <w:b w:val="0"/>
                <w:sz w:val="18"/>
              </w:rPr>
              <w:t>Use cuda only after confirming torch.cuda.is_available() on the deployment machine.</w:t>
            </w:r>
          </w:p>
        </w:tc>
      </w:tr>
      <w:tr>
        <w:tc>
          <w:tcPr>
            <w:tcW w:type="dxa" w:w="2088"/>
            <w:vAlign w:val="top"/>
            <w:shd w:fill="F3F6FA"/>
          </w:tcPr>
          <w:p>
            <w:pPr>
              <w:spacing w:after="40"/>
            </w:pPr>
            <w:r>
              <w:rPr>
                <w:sz w:val="18"/>
              </w:rPr>
            </w:r>
            <w:r>
              <w:rPr>
                <w:b w:val="0"/>
                <w:sz w:val="18"/>
              </w:rPr>
              <w:t>Review RTSP sampling</w:t>
            </w:r>
          </w:p>
        </w:tc>
        <w:tc>
          <w:tcPr>
            <w:tcW w:type="dxa" w:w="3960"/>
            <w:vAlign w:val="top"/>
            <w:shd w:fill="F3F6FA"/>
          </w:tcPr>
          <w:p>
            <w:pPr>
              <w:spacing w:after="40"/>
            </w:pPr>
            <w:r>
              <w:rPr>
                <w:sz w:val="18"/>
              </w:rPr>
            </w:r>
            <w:r>
              <w:rPr>
                <w:b w:val="0"/>
                <w:sz w:val="18"/>
              </w:rPr>
              <w:t>RTSP_SAMPLE_INTERVAL=0.5</w:t>
            </w:r>
          </w:p>
        </w:tc>
        <w:tc>
          <w:tcPr>
            <w:tcW w:type="dxa" w:w="4680"/>
            <w:vAlign w:val="top"/>
            <w:shd w:fill="F3F6FA"/>
          </w:tcPr>
          <w:p>
            <w:pPr>
              <w:spacing w:after="40"/>
            </w:pPr>
            <w:r>
              <w:rPr>
                <w:sz w:val="18"/>
              </w:rPr>
            </w:r>
            <w:r>
              <w:rPr>
                <w:b w:val="0"/>
                <w:sz w:val="18"/>
              </w:rPr>
              <w:t>Default legacy sampling interval. The backend also supports PARKING_RTSP_SAMPLE_INTERVAL, SMOKE_RTSP_SAMPLE_INTERVAL, and COMMON_SPACE_RTSP_SAMPLE_INTERVAL for task-level overrides.</w:t>
            </w:r>
          </w:p>
        </w:tc>
      </w:tr>
      <w:tr>
        <w:tc>
          <w:tcPr>
            <w:tcW w:type="dxa" w:w="2088"/>
            <w:vAlign w:val="top"/>
          </w:tcPr>
          <w:p>
            <w:pPr>
              <w:spacing w:after="40"/>
            </w:pPr>
            <w:r>
              <w:rPr>
                <w:sz w:val="18"/>
              </w:rPr>
            </w:r>
            <w:r>
              <w:rPr>
                <w:b w:val="0"/>
                <w:sz w:val="18"/>
              </w:rPr>
              <w:t>Review queue limits</w:t>
            </w:r>
          </w:p>
        </w:tc>
        <w:tc>
          <w:tcPr>
            <w:tcW w:type="dxa" w:w="3960"/>
            <w:vAlign w:val="top"/>
          </w:tcPr>
          <w:p>
            <w:pPr>
              <w:spacing w:after="40"/>
            </w:pPr>
            <w:r>
              <w:rPr>
                <w:sz w:val="18"/>
              </w:rPr>
            </w:r>
            <w:r>
              <w:rPr>
                <w:b w:val="0"/>
                <w:sz w:val="18"/>
              </w:rPr>
              <w:t>STREAM_EXECUTOR_MAX_QUEUE=24</w:t>
              <w:br/>
              <w:t>SMOKE_DETECTION_MAX_QUEUE=8</w:t>
              <w:br/>
              <w:t>SMOKE_VERIFICATION_MAX_QUEUE=12</w:t>
              <w:br/>
              <w:t>COMMON_SPACE_MAX_QUEUE=4</w:t>
            </w:r>
          </w:p>
        </w:tc>
        <w:tc>
          <w:tcPr>
            <w:tcW w:type="dxa" w:w="4680"/>
            <w:vAlign w:val="top"/>
          </w:tcPr>
          <w:p>
            <w:pPr>
              <w:spacing w:after="40"/>
            </w:pPr>
            <w:r>
              <w:rPr>
                <w:sz w:val="18"/>
              </w:rPr>
            </w:r>
            <w:r>
              <w:rPr>
                <w:b w:val="0"/>
                <w:sz w:val="18"/>
              </w:rPr>
              <w:t>Keep backpressure enabled for multi-stream deployments to avoid unbounded queue growth.</w:t>
            </w:r>
          </w:p>
        </w:tc>
      </w:tr>
    </w:tbl>
    <w:p>
      <w:pPr>
        <w:pStyle w:val="a0"/>
        <w:spacing w:after="40"/>
      </w:pPr>
      <w:r/>
      <w:r>
        <w:rPr>
          <w:b w:val="0"/>
          <w:sz w:val="18"/>
        </w:rPr>
        <w:t>Docker Compose provides default local MongoDB and MinIO settings: MONGO_URI=mongodb://localhost:27017, MONGO_DB_NAME=video_analysis_db, MINIO_ENDPOINT=localhost:9000, MINIO_ACCESS_KEY=minioadmin, MINIO_SECRET_KEY=minioadmin, and MINIO_BUCKET=video-events.</w:t>
      </w:r>
    </w:p>
    <w:p>
      <w:pPr>
        <w:pStyle w:val="a0"/>
        <w:spacing w:after="40"/>
      </w:pPr>
      <w:r/>
      <w:r>
        <w:rPr>
          <w:b w:val="0"/>
          <w:sz w:val="18"/>
        </w:rPr>
        <w:t>For production or shared demos, replace default MinIO credentials and WEBHOOK_SECRET with non-default values, then restart the affected services.</w:t>
      </w:r>
    </w:p>
    <w:p>
      <w:pPr>
        <w:keepNext/>
        <w:pageBreakBefore/>
        <w:spacing w:before="120" w:after="80"/>
      </w:pPr>
      <w:r/>
      <w:r>
        <w:rPr>
          <w:b/>
          <w:color w:val="1F4E79"/>
          <w:sz w:val="22"/>
        </w:rPr>
        <w:t>2.4 Start Infrastructure with Docker Desktop</w:t>
      </w:r>
    </w:p>
    <w:tbl>
      <w:tblPr>
        <w:tblStyle w:val="aff1"/>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456"/>
        <w:gridCol w:w="3456"/>
        <w:gridCol w:w="3456"/>
      </w:tblGrid>
      <w:tr>
        <w:tc>
          <w:tcPr>
            <w:tcW w:type="dxa" w:w="2160"/>
            <w:vAlign w:val="top"/>
            <w:shd w:fill="2F5597"/>
          </w:tcPr>
          <w:p>
            <w:pPr>
              <w:spacing w:after="40"/>
            </w:pPr>
            <w:r>
              <w:rPr>
                <w:b/>
                <w:color w:val="FFFFFF"/>
                <w:sz w:val="18"/>
              </w:rPr>
            </w:r>
            <w:r>
              <w:rPr>
                <w:b/>
                <w:color w:val="FFFFFF"/>
                <w:sz w:val="18"/>
              </w:rPr>
              <w:t>Step</w:t>
            </w:r>
          </w:p>
        </w:tc>
        <w:tc>
          <w:tcPr>
            <w:tcW w:type="dxa" w:w="3744"/>
            <w:vAlign w:val="top"/>
            <w:shd w:fill="2F5597"/>
          </w:tcPr>
          <w:p>
            <w:pPr>
              <w:spacing w:after="40"/>
            </w:pPr>
            <w:r>
              <w:rPr>
                <w:b/>
                <w:color w:val="FFFFFF"/>
                <w:sz w:val="18"/>
              </w:rPr>
            </w:r>
            <w:r>
              <w:rPr>
                <w:b/>
                <w:color w:val="FFFFFF"/>
                <w:sz w:val="18"/>
              </w:rPr>
              <w:t>PowerShell Command</w:t>
            </w:r>
          </w:p>
        </w:tc>
        <w:tc>
          <w:tcPr>
            <w:tcW w:type="dxa" w:w="4896"/>
            <w:vAlign w:val="top"/>
            <w:shd w:fill="2F5597"/>
          </w:tcPr>
          <w:p>
            <w:pPr>
              <w:spacing w:after="40"/>
            </w:pPr>
            <w:r>
              <w:rPr>
                <w:b/>
                <w:color w:val="FFFFFF"/>
                <w:sz w:val="18"/>
              </w:rPr>
            </w:r>
            <w:r>
              <w:rPr>
                <w:b/>
                <w:color w:val="FFFFFF"/>
                <w:sz w:val="18"/>
              </w:rPr>
              <w:t>Expected Result</w:t>
            </w:r>
          </w:p>
        </w:tc>
      </w:tr>
      <w:tr>
        <w:tc>
          <w:tcPr>
            <w:tcW w:type="dxa" w:w="2160"/>
            <w:vAlign w:val="top"/>
          </w:tcPr>
          <w:p>
            <w:pPr>
              <w:spacing w:after="40"/>
            </w:pPr>
            <w:r>
              <w:rPr>
                <w:sz w:val="18"/>
              </w:rPr>
            </w:r>
            <w:r>
              <w:rPr>
                <w:b w:val="0"/>
                <w:sz w:val="18"/>
              </w:rPr>
              <w:t>Start Docker Desktop</w:t>
            </w:r>
          </w:p>
        </w:tc>
        <w:tc>
          <w:tcPr>
            <w:tcW w:type="dxa" w:w="3744"/>
            <w:vAlign w:val="top"/>
          </w:tcPr>
          <w:p>
            <w:pPr>
              <w:spacing w:after="40"/>
            </w:pPr>
            <w:r>
              <w:rPr>
                <w:sz w:val="18"/>
              </w:rPr>
            </w:r>
            <w:r>
              <w:rPr>
                <w:b w:val="0"/>
                <w:sz w:val="18"/>
              </w:rPr>
              <w:t>Open Docker Desktop from Windows Start Menu</w:t>
            </w:r>
          </w:p>
        </w:tc>
        <w:tc>
          <w:tcPr>
            <w:tcW w:type="dxa" w:w="4896"/>
            <w:vAlign w:val="top"/>
          </w:tcPr>
          <w:p>
            <w:pPr>
              <w:spacing w:after="40"/>
            </w:pPr>
            <w:r>
              <w:rPr>
                <w:sz w:val="18"/>
              </w:rPr>
            </w:r>
            <w:r>
              <w:rPr>
                <w:b w:val="0"/>
                <w:sz w:val="18"/>
              </w:rPr>
              <w:t>Docker engine is running.</w:t>
            </w:r>
          </w:p>
        </w:tc>
      </w:tr>
      <w:tr>
        <w:tc>
          <w:tcPr>
            <w:tcW w:type="dxa" w:w="2160"/>
            <w:vAlign w:val="top"/>
            <w:shd w:fill="F3F6FA"/>
          </w:tcPr>
          <w:p>
            <w:pPr>
              <w:spacing w:after="40"/>
            </w:pPr>
            <w:r>
              <w:rPr>
                <w:sz w:val="18"/>
              </w:rPr>
            </w:r>
            <w:r>
              <w:rPr>
                <w:b w:val="0"/>
                <w:sz w:val="18"/>
              </w:rPr>
              <w:t>Start MongoDB and MinIO</w:t>
            </w:r>
          </w:p>
        </w:tc>
        <w:tc>
          <w:tcPr>
            <w:tcW w:type="dxa" w:w="3744"/>
            <w:vAlign w:val="top"/>
            <w:shd w:fill="F3F6FA"/>
          </w:tcPr>
          <w:p>
            <w:pPr>
              <w:spacing w:after="40"/>
            </w:pPr>
            <w:r>
              <w:rPr>
                <w:sz w:val="18"/>
              </w:rPr>
            </w:r>
            <w:r>
              <w:rPr>
                <w:b w:val="0"/>
                <w:sz w:val="18"/>
              </w:rPr>
              <w:t>docker compose up -d</w:t>
            </w:r>
          </w:p>
        </w:tc>
        <w:tc>
          <w:tcPr>
            <w:tcW w:type="dxa" w:w="4896"/>
            <w:vAlign w:val="top"/>
            <w:shd w:fill="F3F6FA"/>
          </w:tcPr>
          <w:p>
            <w:pPr>
              <w:spacing w:after="40"/>
            </w:pPr>
            <w:r>
              <w:rPr>
                <w:sz w:val="18"/>
              </w:rPr>
            </w:r>
            <w:r>
              <w:rPr>
                <w:b w:val="0"/>
                <w:sz w:val="18"/>
              </w:rPr>
              <w:t>Containers named mongo and minio are created or restarted.</w:t>
            </w:r>
          </w:p>
        </w:tc>
      </w:tr>
      <w:tr>
        <w:tc>
          <w:tcPr>
            <w:tcW w:type="dxa" w:w="2160"/>
            <w:vAlign w:val="top"/>
          </w:tcPr>
          <w:p>
            <w:pPr>
              <w:spacing w:after="40"/>
            </w:pPr>
            <w:r>
              <w:rPr>
                <w:sz w:val="18"/>
              </w:rPr>
            </w:r>
            <w:r>
              <w:rPr>
                <w:b w:val="0"/>
                <w:sz w:val="18"/>
              </w:rPr>
              <w:t>Check container status</w:t>
            </w:r>
          </w:p>
        </w:tc>
        <w:tc>
          <w:tcPr>
            <w:tcW w:type="dxa" w:w="3744"/>
            <w:vAlign w:val="top"/>
          </w:tcPr>
          <w:p>
            <w:pPr>
              <w:spacing w:after="40"/>
            </w:pPr>
            <w:r>
              <w:rPr>
                <w:sz w:val="18"/>
              </w:rPr>
            </w:r>
            <w:r>
              <w:rPr>
                <w:b w:val="0"/>
                <w:sz w:val="18"/>
              </w:rPr>
              <w:t>docker compose ps</w:t>
            </w:r>
          </w:p>
        </w:tc>
        <w:tc>
          <w:tcPr>
            <w:tcW w:type="dxa" w:w="4896"/>
            <w:vAlign w:val="top"/>
          </w:tcPr>
          <w:p>
            <w:pPr>
              <w:spacing w:after="40"/>
            </w:pPr>
            <w:r>
              <w:rPr>
                <w:sz w:val="18"/>
              </w:rPr>
            </w:r>
            <w:r>
              <w:rPr>
                <w:b w:val="0"/>
                <w:sz w:val="18"/>
              </w:rPr>
              <w:t>MongoDB exposes 27017. MinIO exposes API 9000 and console 9001.</w:t>
            </w:r>
          </w:p>
        </w:tc>
      </w:tr>
      <w:tr>
        <w:tc>
          <w:tcPr>
            <w:tcW w:type="dxa" w:w="2160"/>
            <w:vAlign w:val="top"/>
            <w:shd w:fill="F3F6FA"/>
          </w:tcPr>
          <w:p>
            <w:pPr>
              <w:spacing w:after="40"/>
            </w:pPr>
            <w:r>
              <w:rPr>
                <w:sz w:val="18"/>
              </w:rPr>
            </w:r>
            <w:r>
              <w:rPr>
                <w:b w:val="0"/>
                <w:sz w:val="18"/>
              </w:rPr>
              <w:t>Open MinIO console if needed</w:t>
            </w:r>
          </w:p>
        </w:tc>
        <w:tc>
          <w:tcPr>
            <w:tcW w:type="dxa" w:w="3744"/>
            <w:vAlign w:val="top"/>
            <w:shd w:fill="F3F6FA"/>
          </w:tcPr>
          <w:p>
            <w:pPr>
              <w:spacing w:after="40"/>
            </w:pPr>
            <w:r>
              <w:rPr>
                <w:sz w:val="18"/>
              </w:rPr>
            </w:r>
            <w:r>
              <w:rPr>
                <w:b w:val="0"/>
                <w:sz w:val="18"/>
              </w:rPr>
              <w:t>http://localhost:9001</w:t>
            </w:r>
          </w:p>
        </w:tc>
        <w:tc>
          <w:tcPr>
            <w:tcW w:type="dxa" w:w="4896"/>
            <w:vAlign w:val="top"/>
            <w:shd w:fill="F3F6FA"/>
          </w:tcPr>
          <w:p>
            <w:pPr>
              <w:spacing w:after="40"/>
            </w:pPr>
            <w:r>
              <w:rPr>
                <w:sz w:val="18"/>
              </w:rPr>
            </w:r>
            <w:r>
              <w:rPr>
                <w:b w:val="0"/>
                <w:sz w:val="18"/>
              </w:rPr>
              <w:t>Login with configured MinIO credentials. Local defaults are minioadmin / minioadmin.</w:t>
            </w:r>
          </w:p>
        </w:tc>
      </w:tr>
    </w:tbl>
    <w:p>
      <w:pPr>
        <w:keepNext/>
        <w:spacing w:before="120" w:after="80"/>
      </w:pPr>
      <w:r/>
      <w:r>
        <w:rPr>
          <w:b/>
          <w:color w:val="1F4E79"/>
          <w:sz w:val="22"/>
        </w:rPr>
        <w:t>2.5 Start HVAS Services</w:t>
      </w:r>
    </w:p>
    <w:tbl>
      <w:tblPr>
        <w:tblStyle w:val="aff1"/>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456"/>
        <w:gridCol w:w="3456"/>
        <w:gridCol w:w="3456"/>
      </w:tblGrid>
      <w:tr>
        <w:tc>
          <w:tcPr>
            <w:tcW w:type="dxa" w:w="2304"/>
            <w:vAlign w:val="top"/>
            <w:shd w:fill="2F5597"/>
          </w:tcPr>
          <w:p>
            <w:pPr>
              <w:spacing w:after="40"/>
            </w:pPr>
            <w:r>
              <w:rPr>
                <w:b/>
                <w:color w:val="FFFFFF"/>
                <w:sz w:val="18"/>
              </w:rPr>
            </w:r>
            <w:r>
              <w:rPr>
                <w:b/>
                <w:color w:val="FFFFFF"/>
                <w:sz w:val="18"/>
              </w:rPr>
              <w:t>Service</w:t>
            </w:r>
          </w:p>
        </w:tc>
        <w:tc>
          <w:tcPr>
            <w:tcW w:type="dxa" w:w="4320"/>
            <w:vAlign w:val="top"/>
            <w:shd w:fill="2F5597"/>
          </w:tcPr>
          <w:p>
            <w:pPr>
              <w:spacing w:after="40"/>
            </w:pPr>
            <w:r>
              <w:rPr>
                <w:b/>
                <w:color w:val="FFFFFF"/>
                <w:sz w:val="18"/>
              </w:rPr>
            </w:r>
            <w:r>
              <w:rPr>
                <w:b/>
                <w:color w:val="FFFFFF"/>
                <w:sz w:val="18"/>
              </w:rPr>
              <w:t>Command</w:t>
            </w:r>
          </w:p>
        </w:tc>
        <w:tc>
          <w:tcPr>
            <w:tcW w:type="dxa" w:w="3744"/>
            <w:vAlign w:val="top"/>
            <w:shd w:fill="2F5597"/>
          </w:tcPr>
          <w:p>
            <w:pPr>
              <w:spacing w:after="40"/>
            </w:pPr>
            <w:r>
              <w:rPr>
                <w:b/>
                <w:color w:val="FFFFFF"/>
                <w:sz w:val="18"/>
              </w:rPr>
            </w:r>
            <w:r>
              <w:rPr>
                <w:b/>
                <w:color w:val="FFFFFF"/>
                <w:sz w:val="18"/>
              </w:rPr>
              <w:t>URL or Output</w:t>
            </w:r>
          </w:p>
        </w:tc>
      </w:tr>
      <w:tr>
        <w:tc>
          <w:tcPr>
            <w:tcW w:type="dxa" w:w="2304"/>
            <w:vAlign w:val="top"/>
          </w:tcPr>
          <w:p>
            <w:pPr>
              <w:spacing w:after="40"/>
            </w:pPr>
            <w:r>
              <w:rPr>
                <w:sz w:val="18"/>
              </w:rPr>
            </w:r>
            <w:r>
              <w:rPr>
                <w:b w:val="0"/>
                <w:sz w:val="18"/>
              </w:rPr>
              <w:t>Backend Flask API</w:t>
            </w:r>
          </w:p>
        </w:tc>
        <w:tc>
          <w:tcPr>
            <w:tcW w:type="dxa" w:w="4320"/>
            <w:vAlign w:val="top"/>
          </w:tcPr>
          <w:p>
            <w:pPr>
              <w:spacing w:after="40"/>
            </w:pPr>
            <w:r>
              <w:rPr>
                <w:sz w:val="18"/>
              </w:rPr>
            </w:r>
            <w:r>
              <w:rPr>
                <w:b w:val="0"/>
                <w:sz w:val="18"/>
              </w:rPr>
              <w:t>python -m backend.main</w:t>
            </w:r>
          </w:p>
        </w:tc>
        <w:tc>
          <w:tcPr>
            <w:tcW w:type="dxa" w:w="3744"/>
            <w:vAlign w:val="top"/>
          </w:tcPr>
          <w:p>
            <w:pPr>
              <w:spacing w:after="40"/>
            </w:pPr>
            <w:r>
              <w:rPr>
                <w:sz w:val="18"/>
              </w:rPr>
            </w:r>
            <w:r>
              <w:rPr>
                <w:b w:val="0"/>
                <w:sz w:val="18"/>
              </w:rPr>
              <w:t>http://localhost:5000</w:t>
            </w:r>
          </w:p>
        </w:tc>
      </w:tr>
      <w:tr>
        <w:tc>
          <w:tcPr>
            <w:tcW w:type="dxa" w:w="2304"/>
            <w:vAlign w:val="top"/>
            <w:shd w:fill="F3F6FA"/>
          </w:tcPr>
          <w:p>
            <w:pPr>
              <w:spacing w:after="40"/>
            </w:pPr>
            <w:r>
              <w:rPr>
                <w:sz w:val="18"/>
              </w:rPr>
            </w:r>
            <w:r>
              <w:rPr>
                <w:b w:val="0"/>
                <w:sz w:val="18"/>
              </w:rPr>
              <w:t>Frontend dashboard</w:t>
            </w:r>
          </w:p>
        </w:tc>
        <w:tc>
          <w:tcPr>
            <w:tcW w:type="dxa" w:w="4320"/>
            <w:vAlign w:val="top"/>
            <w:shd w:fill="F3F6FA"/>
          </w:tcPr>
          <w:p>
            <w:pPr>
              <w:spacing w:after="40"/>
            </w:pPr>
            <w:r>
              <w:rPr>
                <w:sz w:val="18"/>
              </w:rPr>
            </w:r>
            <w:r>
              <w:rPr>
                <w:b w:val="0"/>
                <w:sz w:val="18"/>
              </w:rPr>
              <w:t>cd frontend</w:t>
              <w:br/>
              <w:t>npm run dev</w:t>
            </w:r>
          </w:p>
        </w:tc>
        <w:tc>
          <w:tcPr>
            <w:tcW w:type="dxa" w:w="3744"/>
            <w:vAlign w:val="top"/>
            <w:shd w:fill="F3F6FA"/>
          </w:tcPr>
          <w:p>
            <w:pPr>
              <w:spacing w:after="40"/>
            </w:pPr>
            <w:r>
              <w:rPr>
                <w:sz w:val="18"/>
              </w:rPr>
            </w:r>
            <w:r>
              <w:rPr>
                <w:b w:val="0"/>
                <w:sz w:val="18"/>
              </w:rPr>
              <w:t>http://localhost:5173</w:t>
            </w:r>
          </w:p>
        </w:tc>
      </w:tr>
      <w:tr>
        <w:tc>
          <w:tcPr>
            <w:tcW w:type="dxa" w:w="2304"/>
            <w:vAlign w:val="top"/>
          </w:tcPr>
          <w:p>
            <w:pPr>
              <w:spacing w:after="40"/>
            </w:pPr>
            <w:r>
              <w:rPr>
                <w:sz w:val="18"/>
              </w:rPr>
            </w:r>
            <w:r>
              <w:rPr>
                <w:b w:val="0"/>
                <w:sz w:val="18"/>
              </w:rPr>
              <w:t>Upload/proxy service</w:t>
            </w:r>
          </w:p>
        </w:tc>
        <w:tc>
          <w:tcPr>
            <w:tcW w:type="dxa" w:w="4320"/>
            <w:vAlign w:val="top"/>
          </w:tcPr>
          <w:p>
            <w:pPr>
              <w:spacing w:after="40"/>
            </w:pPr>
            <w:r>
              <w:rPr>
                <w:sz w:val="18"/>
              </w:rPr>
            </w:r>
            <w:r>
              <w:rPr>
                <w:b w:val="0"/>
                <w:sz w:val="18"/>
              </w:rPr>
              <w:t>cd frontend</w:t>
              <w:br/>
              <w:t>npm run start-server</w:t>
            </w:r>
          </w:p>
        </w:tc>
        <w:tc>
          <w:tcPr>
            <w:tcW w:type="dxa" w:w="3744"/>
            <w:vAlign w:val="top"/>
          </w:tcPr>
          <w:p>
            <w:pPr>
              <w:spacing w:after="40"/>
            </w:pPr>
            <w:r>
              <w:rPr>
                <w:sz w:val="18"/>
              </w:rPr>
            </w:r>
            <w:r>
              <w:rPr>
                <w:b w:val="0"/>
                <w:sz w:val="18"/>
              </w:rPr>
              <w:t>http://localhost:8080</w:t>
            </w:r>
          </w:p>
        </w:tc>
      </w:tr>
    </w:tbl>
    <w:p>
      <w:pPr>
        <w:spacing w:after="80"/>
      </w:pPr>
      <w:r/>
      <w:r>
        <w:rPr>
          <w:b w:val="0"/>
          <w:sz w:val="18"/>
        </w:rPr>
        <w:t>The delivered batch launcher can also be used after dependencies are installed: run the project-root one-click launcher, then verify each service window remains open without errors.</w:t>
      </w:r>
    </w:p>
    <w:p>
      <w:pPr>
        <w:keepNext/>
        <w:spacing w:before="120" w:after="80"/>
      </w:pPr>
      <w:r/>
      <w:r>
        <w:rPr>
          <w:b/>
          <w:color w:val="1F4E79"/>
          <w:sz w:val="22"/>
        </w:rPr>
        <w:t>2.6 Post-Deployment Verification</w:t>
      </w:r>
    </w:p>
    <w:tbl>
      <w:tblPr>
        <w:tblStyle w:val="aff1"/>
        <w:tblW w:type="auto" w:w="0"/>
        <w:jc w:val="center"/>
        <w:tblLook w:firstColumn="1" w:firstRow="1" w:lastColumn="0" w:lastRow="0" w:noHBand="0" w:noVBand="1" w:val="04A0"/>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3456"/>
        <w:gridCol w:w="3456"/>
        <w:gridCol w:w="3456"/>
      </w:tblGrid>
      <w:tr>
        <w:tc>
          <w:tcPr>
            <w:tcW w:type="dxa" w:w="2016"/>
            <w:vAlign w:val="top"/>
            <w:shd w:fill="2F5597"/>
          </w:tcPr>
          <w:p>
            <w:pPr>
              <w:spacing w:after="40"/>
            </w:pPr>
            <w:r>
              <w:rPr>
                <w:b/>
                <w:color w:val="FFFFFF"/>
                <w:sz w:val="18"/>
              </w:rPr>
            </w:r>
            <w:r>
              <w:rPr>
                <w:b/>
                <w:color w:val="FFFFFF"/>
                <w:sz w:val="18"/>
              </w:rPr>
              <w:t>Check</w:t>
            </w:r>
          </w:p>
        </w:tc>
        <w:tc>
          <w:tcPr>
            <w:tcW w:type="dxa" w:w="3744"/>
            <w:vAlign w:val="top"/>
            <w:shd w:fill="2F5597"/>
          </w:tcPr>
          <w:p>
            <w:pPr>
              <w:spacing w:after="40"/>
            </w:pPr>
            <w:r>
              <w:rPr>
                <w:b/>
                <w:color w:val="FFFFFF"/>
                <w:sz w:val="18"/>
              </w:rPr>
            </w:r>
            <w:r>
              <w:rPr>
                <w:b/>
                <w:color w:val="FFFFFF"/>
                <w:sz w:val="18"/>
              </w:rPr>
              <w:t>Command or UI Action</w:t>
            </w:r>
          </w:p>
        </w:tc>
        <w:tc>
          <w:tcPr>
            <w:tcW w:type="dxa" w:w="5184"/>
            <w:vAlign w:val="top"/>
            <w:shd w:fill="2F5597"/>
          </w:tcPr>
          <w:p>
            <w:pPr>
              <w:spacing w:after="40"/>
            </w:pPr>
            <w:r>
              <w:rPr>
                <w:b/>
                <w:color w:val="FFFFFF"/>
                <w:sz w:val="18"/>
              </w:rPr>
            </w:r>
            <w:r>
              <w:rPr>
                <w:b/>
                <w:color w:val="FFFFFF"/>
                <w:sz w:val="18"/>
              </w:rPr>
              <w:t>Pass Criteria</w:t>
            </w:r>
          </w:p>
        </w:tc>
      </w:tr>
      <w:tr>
        <w:tc>
          <w:tcPr>
            <w:tcW w:type="dxa" w:w="2016"/>
            <w:vAlign w:val="top"/>
          </w:tcPr>
          <w:p>
            <w:pPr>
              <w:spacing w:after="40"/>
            </w:pPr>
            <w:r>
              <w:rPr>
                <w:sz w:val="18"/>
              </w:rPr>
            </w:r>
            <w:r>
              <w:rPr>
                <w:b w:val="0"/>
                <w:sz w:val="18"/>
              </w:rPr>
              <w:t>Backend health</w:t>
            </w:r>
          </w:p>
        </w:tc>
        <w:tc>
          <w:tcPr>
            <w:tcW w:type="dxa" w:w="3744"/>
            <w:vAlign w:val="top"/>
          </w:tcPr>
          <w:p>
            <w:pPr>
              <w:spacing w:after="40"/>
            </w:pPr>
            <w:r>
              <w:rPr>
                <w:sz w:val="18"/>
              </w:rPr>
            </w:r>
            <w:r>
              <w:rPr>
                <w:b w:val="0"/>
                <w:sz w:val="18"/>
              </w:rPr>
              <w:t>Invoke-RestMethod http://localhost:5000/api/health</w:t>
            </w:r>
          </w:p>
        </w:tc>
        <w:tc>
          <w:tcPr>
            <w:tcW w:type="dxa" w:w="5184"/>
            <w:vAlign w:val="top"/>
          </w:tcPr>
          <w:p>
            <w:pPr>
              <w:spacing w:after="40"/>
            </w:pPr>
            <w:r>
              <w:rPr>
                <w:sz w:val="18"/>
              </w:rPr>
            </w:r>
            <w:r>
              <w:rPr>
                <w:b w:val="0"/>
                <w:sz w:val="18"/>
              </w:rPr>
              <w:t>status is ok or degraded only when optional services are intentionally unavailable; mongodb and minio should be connected for a full deployment.</w:t>
            </w:r>
          </w:p>
        </w:tc>
      </w:tr>
      <w:tr>
        <w:tc>
          <w:tcPr>
            <w:tcW w:type="dxa" w:w="2016"/>
            <w:vAlign w:val="top"/>
            <w:shd w:fill="F3F6FA"/>
          </w:tcPr>
          <w:p>
            <w:pPr>
              <w:spacing w:after="40"/>
            </w:pPr>
            <w:r>
              <w:rPr>
                <w:sz w:val="18"/>
              </w:rPr>
            </w:r>
            <w:r>
              <w:rPr>
                <w:b w:val="0"/>
                <w:sz w:val="18"/>
              </w:rPr>
              <w:t>Dashboard access</w:t>
            </w:r>
          </w:p>
        </w:tc>
        <w:tc>
          <w:tcPr>
            <w:tcW w:type="dxa" w:w="3744"/>
            <w:vAlign w:val="top"/>
            <w:shd w:fill="F3F6FA"/>
          </w:tcPr>
          <w:p>
            <w:pPr>
              <w:spacing w:after="40"/>
            </w:pPr>
            <w:r>
              <w:rPr>
                <w:sz w:val="18"/>
              </w:rPr>
            </w:r>
            <w:r>
              <w:rPr>
                <w:b w:val="0"/>
                <w:sz w:val="18"/>
              </w:rPr>
              <w:t>Open http://localhost:5173</w:t>
            </w:r>
          </w:p>
        </w:tc>
        <w:tc>
          <w:tcPr>
            <w:tcW w:type="dxa" w:w="5184"/>
            <w:vAlign w:val="top"/>
            <w:shd w:fill="F3F6FA"/>
          </w:tcPr>
          <w:p>
            <w:pPr>
              <w:spacing w:after="40"/>
            </w:pPr>
            <w:r>
              <w:rPr>
                <w:sz w:val="18"/>
              </w:rPr>
            </w:r>
            <w:r>
              <w:rPr>
                <w:b w:val="0"/>
                <w:sz w:val="18"/>
              </w:rPr>
              <w:t>Dashboard, Stream Manager, Events, Globe, and Reports pages load.</w:t>
            </w:r>
          </w:p>
        </w:tc>
      </w:tr>
      <w:tr>
        <w:tc>
          <w:tcPr>
            <w:tcW w:type="dxa" w:w="2016"/>
            <w:vAlign w:val="top"/>
          </w:tcPr>
          <w:p>
            <w:pPr>
              <w:spacing w:after="40"/>
            </w:pPr>
            <w:r>
              <w:rPr>
                <w:sz w:val="18"/>
              </w:rPr>
            </w:r>
            <w:r>
              <w:rPr>
                <w:b w:val="0"/>
                <w:sz w:val="18"/>
              </w:rPr>
              <w:t>RTSP stream setup</w:t>
            </w:r>
          </w:p>
        </w:tc>
        <w:tc>
          <w:tcPr>
            <w:tcW w:type="dxa" w:w="3744"/>
            <w:vAlign w:val="top"/>
          </w:tcPr>
          <w:p>
            <w:pPr>
              <w:spacing w:after="40"/>
            </w:pPr>
            <w:r>
              <w:rPr>
                <w:sz w:val="18"/>
              </w:rPr>
            </w:r>
            <w:r>
              <w:rPr>
                <w:b w:val="0"/>
                <w:sz w:val="18"/>
              </w:rPr>
              <w:t>Add a stream in Stream Manager</w:t>
            </w:r>
          </w:p>
        </w:tc>
        <w:tc>
          <w:tcPr>
            <w:tcW w:type="dxa" w:w="5184"/>
            <w:vAlign w:val="top"/>
          </w:tcPr>
          <w:p>
            <w:pPr>
              <w:spacing w:after="40"/>
            </w:pPr>
            <w:r>
              <w:rPr>
                <w:sz w:val="18"/>
              </w:rPr>
            </w:r>
            <w:r>
              <w:rPr>
                <w:b w:val="0"/>
                <w:sz w:val="18"/>
              </w:rPr>
              <w:t>The stream appears as running and /api/streams returns the configured camera_id and task list.</w:t>
            </w:r>
          </w:p>
        </w:tc>
      </w:tr>
      <w:tr>
        <w:tc>
          <w:tcPr>
            <w:tcW w:type="dxa" w:w="2016"/>
            <w:vAlign w:val="top"/>
            <w:shd w:fill="F3F6FA"/>
          </w:tcPr>
          <w:p>
            <w:pPr>
              <w:spacing w:after="40"/>
            </w:pPr>
            <w:r>
              <w:rPr>
                <w:sz w:val="18"/>
              </w:rPr>
            </w:r>
            <w:r>
              <w:rPr>
                <w:b w:val="0"/>
                <w:sz w:val="18"/>
              </w:rPr>
              <w:t>Event persistence</w:t>
            </w:r>
          </w:p>
        </w:tc>
        <w:tc>
          <w:tcPr>
            <w:tcW w:type="dxa" w:w="3744"/>
            <w:vAlign w:val="top"/>
            <w:shd w:fill="F3F6FA"/>
          </w:tcPr>
          <w:p>
            <w:pPr>
              <w:spacing w:after="40"/>
            </w:pPr>
            <w:r>
              <w:rPr>
                <w:sz w:val="18"/>
              </w:rPr>
            </w:r>
            <w:r>
              <w:rPr>
                <w:b w:val="0"/>
                <w:sz w:val="18"/>
              </w:rPr>
              <w:t>Trigger a test event, then open Events List</w:t>
            </w:r>
          </w:p>
        </w:tc>
        <w:tc>
          <w:tcPr>
            <w:tcW w:type="dxa" w:w="5184"/>
            <w:vAlign w:val="top"/>
            <w:shd w:fill="F3F6FA"/>
          </w:tcPr>
          <w:p>
            <w:pPr>
              <w:spacing w:after="40"/>
            </w:pPr>
            <w:r>
              <w:rPr>
                <w:sz w:val="18"/>
              </w:rPr>
            </w:r>
            <w:r>
              <w:rPr>
                <w:b w:val="0"/>
                <w:sz w:val="18"/>
              </w:rPr>
              <w:t>New event card appears and the event image is reachable from MinIO.</w:t>
            </w:r>
          </w:p>
        </w:tc>
      </w:tr>
      <w:tr>
        <w:tc>
          <w:tcPr>
            <w:tcW w:type="dxa" w:w="2016"/>
            <w:vAlign w:val="top"/>
          </w:tcPr>
          <w:p>
            <w:pPr>
              <w:spacing w:after="40"/>
            </w:pPr>
            <w:r>
              <w:rPr>
                <w:sz w:val="18"/>
              </w:rPr>
            </w:r>
            <w:r>
              <w:rPr>
                <w:b w:val="0"/>
                <w:sz w:val="18"/>
              </w:rPr>
              <w:t>Report generation</w:t>
            </w:r>
          </w:p>
        </w:tc>
        <w:tc>
          <w:tcPr>
            <w:tcW w:type="dxa" w:w="3744"/>
            <w:vAlign w:val="top"/>
          </w:tcPr>
          <w:p>
            <w:pPr>
              <w:spacing w:after="40"/>
            </w:pPr>
            <w:r>
              <w:rPr>
                <w:sz w:val="18"/>
              </w:rPr>
            </w:r>
            <w:r>
              <w:rPr>
                <w:b w:val="0"/>
                <w:sz w:val="18"/>
              </w:rPr>
              <w:t>Open Reports and run common-space generation</w:t>
            </w:r>
          </w:p>
        </w:tc>
        <w:tc>
          <w:tcPr>
            <w:tcW w:type="dxa" w:w="5184"/>
            <w:vAlign w:val="top"/>
          </w:tcPr>
          <w:p>
            <w:pPr>
              <w:spacing w:after="40"/>
            </w:pPr>
            <w:r>
              <w:rPr>
                <w:sz w:val="18"/>
              </w:rPr>
            </w:r>
            <w:r>
              <w:rPr>
                <w:b w:val="0"/>
                <w:sz w:val="18"/>
              </w:rPr>
              <w:t>Rule-based reports work; LLM-based reports require QWEN_REPORT_API_KEY.</w:t>
            </w:r>
          </w:p>
        </w:tc>
      </w:tr>
    </w:tbl>
    <w:p>
      <w:pPr>
        <w:keepNext/>
        <w:spacing w:before="120" w:after="80"/>
      </w:pPr>
      <w:r/>
      <w:r>
        <w:rPr>
          <w:b/>
          <w:color w:val="1F4E79"/>
          <w:sz w:val="22"/>
        </w:rPr>
        <w:t>2.7 Shutdown and Restart</w:t>
      </w:r>
    </w:p>
    <w:p>
      <w:pPr>
        <w:pStyle w:val="a0"/>
        <w:spacing w:after="40"/>
      </w:pPr>
      <w:r/>
      <w:r>
        <w:rPr>
          <w:b w:val="0"/>
          <w:sz w:val="18"/>
        </w:rPr>
        <w:t>Stop backend and frontend terminals with Ctrl+C.</w:t>
      </w:r>
    </w:p>
    <w:p>
      <w:pPr>
        <w:pStyle w:val="a0"/>
        <w:spacing w:after="40"/>
      </w:pPr>
      <w:r/>
      <w:r>
        <w:rPr>
          <w:b w:val="0"/>
          <w:sz w:val="18"/>
        </w:rPr>
        <w:t>Stop infrastructure with docker compose down when local data should be preserved in Docker volumes.</w:t>
      </w:r>
    </w:p>
    <w:p>
      <w:pPr>
        <w:pStyle w:val="a0"/>
        <w:spacing w:after="40"/>
      </w:pPr>
      <w:r/>
      <w:r>
        <w:rPr>
          <w:b w:val="0"/>
          <w:sz w:val="18"/>
        </w:rPr>
        <w:t>After changing .env, restart the backend so python-dotenv reloads the updated settings.</w:t>
      </w:r>
    </w:p>
    <w:p w14:paraId="06B0AFF2" w14:textId="77777777" w:rsidR="006A2F56" w:rsidRDefault="00000000">
      <w:pPr>
        <w:pStyle w:val="1"/>
        <w:keepNext/>
        <w:pageBreakBefore/>
        <w:spacing w:line="360" w:lineRule="auto" w:after="60" w:before="0"/>
      </w:pPr>
      <w:r/>
      <w:r>
        <w:rPr>
          <w:b/>
          <w:color w:val="1F4E79"/>
          <w:sz w:val="28"/>
        </w:rPr>
        <w:t>3. Main Workflows</w:t>
      </w:r>
    </w:p>
    <w:tbl>
      <w:tblPr>
        <w:tblStyle w:val="aff1"/>
        <w:tblW w:w="0" w:type="auto"/>
        <w:jc w:val="center"/>
        <w:tblLook w:val="04A0" w:firstRow="1" w:lastRow="0" w:firstColumn="1" w:lastColumn="0" w:noHBand="0" w:noVBand="1"/>
      </w:tblPr>
      <w:tblGrid>
        <w:gridCol w:w="5184"/>
        <w:gridCol w:w="5184"/>
      </w:tblGrid>
      <w:tr w:rsidR="006A2F56" w14:paraId="22C969EB" w14:textId="77777777">
        <w:trPr>
          <w:jc w:val="center"/>
        </w:trPr>
        <w:tc>
          <w:tcPr>
            <w:tcW w:w="5184" w:type="dxa"/>
            <w:shd w:val="clear" w:color="auto" w:fill="1F4E79"/>
            <w:vAlign w:val="center"/>
          </w:tcPr>
          <w:p w14:paraId="435A9BD9" w14:textId="77777777" w:rsidR="006A2F56" w:rsidRDefault="00000000">
            <w:pPr>
              <w:spacing w:line="360" w:lineRule="auto" w:after="60" w:before="0"/>
            </w:pPr>
            <w:r>
              <w:rPr>
                <w:rFonts w:ascii="Times New Roman" w:hAnsi="Times New Roman" w:eastAsia="Times New Roman"/>
                <w:b/>
                <w:color w:val="FFFFFF"/>
                <w:sz w:val="20"/>
              </w:rPr>
              <w:t>Workflow</w:t>
            </w:r>
          </w:p>
        </w:tc>
        <w:tc>
          <w:tcPr>
            <w:tcW w:w="5184" w:type="dxa"/>
            <w:shd w:val="clear" w:color="auto" w:fill="1F4E79"/>
            <w:vAlign w:val="center"/>
          </w:tcPr>
          <w:p w14:paraId="0619B1DF" w14:textId="77777777" w:rsidR="006A2F56" w:rsidRDefault="00000000">
            <w:pPr>
              <w:spacing w:line="360" w:lineRule="auto" w:after="60" w:before="0"/>
            </w:pPr>
            <w:r>
              <w:rPr>
                <w:rFonts w:ascii="Times New Roman" w:hAnsi="Times New Roman" w:eastAsia="Times New Roman"/>
                <w:b/>
                <w:color w:val="FFFFFF"/>
                <w:sz w:val="20"/>
              </w:rPr>
              <w:t>Steps / Expected Behaviour</w:t>
            </w:r>
          </w:p>
        </w:tc>
      </w:tr>
      <w:tr w:rsidR="006A2F56" w14:paraId="0EDA68C9" w14:textId="77777777">
        <w:trPr>
          <w:jc w:val="center"/>
        </w:trPr>
        <w:tc>
          <w:tcPr>
            <w:tcW w:w="5184" w:type="dxa"/>
          </w:tcPr>
          <w:p w14:paraId="23F10ECD" w14:textId="77777777" w:rsidR="006A2F56" w:rsidRDefault="00000000">
            <w:pPr>
              <w:spacing w:line="360" w:lineRule="auto" w:after="60" w:before="0"/>
            </w:pPr>
            <w:r>
              <w:rPr>
                <w:rFonts w:ascii="Times New Roman" w:hAnsi="Times New Roman" w:eastAsia="Times New Roman"/>
                <w:sz w:val="20"/>
              </w:rPr>
              <w:t>Open dashboard</w:t>
            </w:r>
          </w:p>
        </w:tc>
        <w:tc>
          <w:tcPr>
            <w:tcW w:w="5184" w:type="dxa"/>
          </w:tcPr>
          <w:p w14:paraId="71D18B50" w14:textId="77777777" w:rsidR="006A2F56" w:rsidRDefault="00000000">
            <w:pPr>
              <w:spacing w:line="360" w:lineRule="auto" w:after="60" w:before="0"/>
            </w:pPr>
            <w:r>
              <w:rPr>
                <w:rFonts w:ascii="Times New Roman" w:hAnsi="Times New Roman" w:eastAsia="Times New Roman"/>
                <w:sz w:val="20"/>
              </w:rPr>
              <w:t>Navigate to /dashboard to view high-level event statistics and recent events.</w:t>
            </w:r>
          </w:p>
        </w:tc>
      </w:tr>
      <w:tr w:rsidR="006A2F56" w14:paraId="0257BE41" w14:textId="77777777">
        <w:trPr>
          <w:jc w:val="center"/>
        </w:trPr>
        <w:tc>
          <w:tcPr>
            <w:tcW w:w="5184" w:type="dxa"/>
          </w:tcPr>
          <w:p w14:paraId="6BF2B012" w14:textId="77777777" w:rsidR="006A2F56" w:rsidRDefault="00000000">
            <w:pPr>
              <w:spacing w:line="360" w:lineRule="auto" w:after="60" w:before="0"/>
            </w:pPr>
            <w:r>
              <w:rPr>
                <w:rFonts w:ascii="Times New Roman" w:hAnsi="Times New Roman" w:eastAsia="Times New Roman"/>
                <w:sz w:val="20"/>
              </w:rPr>
              <w:t>Upload video</w:t>
            </w:r>
          </w:p>
        </w:tc>
        <w:tc>
          <w:tcPr>
            <w:tcW w:w="5184" w:type="dxa"/>
          </w:tcPr>
          <w:p w14:paraId="5859A690" w14:textId="77777777" w:rsidR="006A2F56" w:rsidRDefault="00000000">
            <w:pPr>
              <w:spacing w:line="360" w:lineRule="auto" w:after="60" w:before="0"/>
            </w:pPr>
            <w:r>
              <w:rPr>
                <w:rFonts w:ascii="Times New Roman" w:hAnsi="Times New Roman" w:eastAsia="Times New Roman"/>
                <w:sz w:val="20"/>
              </w:rPr>
              <w:t>Open /upload, select a video file and submit it for local-video processing where configured.</w:t>
            </w:r>
          </w:p>
        </w:tc>
      </w:tr>
      <w:tr w:rsidR="006A2F56" w14:paraId="31603D0B" w14:textId="77777777">
        <w:trPr>
          <w:jc w:val="center"/>
        </w:trPr>
        <w:tc>
          <w:tcPr>
            <w:tcW w:w="5184" w:type="dxa"/>
          </w:tcPr>
          <w:p w14:paraId="7B2A7237" w14:textId="77777777" w:rsidR="006A2F56" w:rsidRDefault="00000000">
            <w:pPr>
              <w:spacing w:line="360" w:lineRule="auto" w:after="60" w:before="0"/>
            </w:pPr>
            <w:r>
              <w:rPr>
                <w:rFonts w:ascii="Times New Roman" w:hAnsi="Times New Roman" w:eastAsia="Times New Roman"/>
                <w:sz w:val="20"/>
              </w:rPr>
              <w:t>Manage stream</w:t>
            </w:r>
          </w:p>
        </w:tc>
        <w:tc>
          <w:tcPr>
            <w:tcW w:w="5184" w:type="dxa"/>
          </w:tcPr>
          <w:p w14:paraId="266CA770" w14:textId="77777777" w:rsidR="006A2F56" w:rsidRDefault="00000000">
            <w:pPr>
              <w:spacing w:line="360" w:lineRule="auto" w:after="60" w:before="0"/>
            </w:pPr>
            <w:r>
              <w:rPr>
                <w:rFonts w:ascii="Times New Roman" w:hAnsi="Times New Roman" w:eastAsia="Times New Roman"/>
                <w:sz w:val="20"/>
              </w:rPr>
              <w:t>Open /streams, add an RTSP/local source, assign camera metadata and select detection tasks.</w:t>
            </w:r>
          </w:p>
        </w:tc>
      </w:tr>
      <w:tr w:rsidR="006A2F56" w14:paraId="6E504AA0" w14:textId="77777777">
        <w:trPr>
          <w:jc w:val="center"/>
        </w:trPr>
        <w:tc>
          <w:tcPr>
            <w:tcW w:w="5184" w:type="dxa"/>
          </w:tcPr>
          <w:p w14:paraId="5412A22A" w14:textId="77777777" w:rsidR="006A2F56" w:rsidRDefault="00000000">
            <w:pPr>
              <w:spacing w:line="360" w:lineRule="auto" w:after="60" w:before="0"/>
            </w:pPr>
            <w:r>
              <w:rPr>
                <w:rFonts w:ascii="Times New Roman" w:hAnsi="Times New Roman" w:eastAsia="Times New Roman"/>
                <w:sz w:val="20"/>
              </w:rPr>
              <w:t>Monitor events</w:t>
            </w:r>
          </w:p>
        </w:tc>
        <w:tc>
          <w:tcPr>
            <w:tcW w:w="5184" w:type="dxa"/>
          </w:tcPr>
          <w:p w14:paraId="69E416EC" w14:textId="77777777" w:rsidR="006A2F56" w:rsidRDefault="00000000">
            <w:pPr>
              <w:spacing w:line="360" w:lineRule="auto" w:after="60" w:before="0"/>
            </w:pPr>
            <w:r>
              <w:rPr>
                <w:rFonts w:ascii="Times New Roman" w:hAnsi="Times New Roman" w:eastAsia="Times New Roman"/>
                <w:sz w:val="20"/>
              </w:rPr>
              <w:t>Open /events to filter events by time, type, camera or status and view event details.</w:t>
            </w:r>
          </w:p>
        </w:tc>
      </w:tr>
      <w:tr w:rsidR="006A2F56" w14:paraId="52890852" w14:textId="77777777">
        <w:trPr>
          <w:jc w:val="center"/>
        </w:trPr>
        <w:tc>
          <w:tcPr>
            <w:tcW w:w="5184" w:type="dxa"/>
          </w:tcPr>
          <w:p w14:paraId="194BD5BC" w14:textId="77777777" w:rsidR="006A2F56" w:rsidRDefault="00000000">
            <w:pPr>
              <w:spacing w:line="360" w:lineRule="auto" w:after="60" w:before="0"/>
            </w:pPr>
            <w:r>
              <w:rPr>
                <w:rFonts w:ascii="Times New Roman" w:hAnsi="Times New Roman" w:eastAsia="Times New Roman"/>
                <w:sz w:val="20"/>
              </w:rPr>
              <w:t>Respond to alert popup</w:t>
            </w:r>
          </w:p>
        </w:tc>
        <w:tc>
          <w:tcPr>
            <w:tcW w:w="5184" w:type="dxa"/>
          </w:tcPr>
          <w:p w14:paraId="0D535FA6" w14:textId="77777777" w:rsidR="006A2F56" w:rsidRDefault="00000000">
            <w:pPr>
              <w:spacing w:line="360" w:lineRule="auto" w:after="60" w:before="0"/>
            </w:pPr>
            <w:r>
              <w:rPr>
                <w:rFonts w:ascii="Times New Roman" w:hAnsi="Times New Roman" w:eastAsia="Times New Roman"/>
                <w:sz w:val="20"/>
              </w:rPr>
              <w:t>When a smoke/fire alert appears, open the event detail and confirm evidence image and status.</w:t>
            </w:r>
          </w:p>
        </w:tc>
      </w:tr>
      <w:tr w:rsidR="006A2F56" w14:paraId="36F67660" w14:textId="77777777">
        <w:trPr>
          <w:jc w:val="center"/>
        </w:trPr>
        <w:tc>
          <w:tcPr>
            <w:tcW w:w="5184" w:type="dxa"/>
          </w:tcPr>
          <w:p w14:paraId="6E110149" w14:textId="77777777" w:rsidR="006A2F56" w:rsidRDefault="00000000">
            <w:pPr>
              <w:spacing w:line="360" w:lineRule="auto" w:after="60" w:before="0"/>
            </w:pPr>
            <w:r>
              <w:rPr>
                <w:rFonts w:ascii="Times New Roman" w:hAnsi="Times New Roman" w:eastAsia="Times New Roman"/>
                <w:sz w:val="20"/>
              </w:rPr>
              <w:t>View location map</w:t>
            </w:r>
          </w:p>
        </w:tc>
        <w:tc>
          <w:tcPr>
            <w:tcW w:w="5184" w:type="dxa"/>
          </w:tcPr>
          <w:p w14:paraId="1D6B4302" w14:textId="77777777" w:rsidR="006A2F56" w:rsidRDefault="00000000">
            <w:pPr>
              <w:spacing w:line="360" w:lineRule="auto" w:after="60" w:before="0"/>
            </w:pPr>
            <w:r>
              <w:rPr>
                <w:rFonts w:ascii="Times New Roman" w:hAnsi="Times New Roman" w:eastAsia="Times New Roman"/>
                <w:sz w:val="20"/>
              </w:rPr>
              <w:t>Open /globe to inspect geospatial event visualisation if location data is present.</w:t>
            </w:r>
          </w:p>
        </w:tc>
      </w:tr>
      <w:tr w:rsidR="006A2F56" w14:paraId="08FBE3F8" w14:textId="77777777">
        <w:trPr>
          <w:jc w:val="center"/>
        </w:trPr>
        <w:tc>
          <w:tcPr>
            <w:tcW w:w="5184" w:type="dxa"/>
          </w:tcPr>
          <w:p w14:paraId="282801C4" w14:textId="77777777" w:rsidR="006A2F56" w:rsidRDefault="00000000">
            <w:pPr>
              <w:spacing w:line="360" w:lineRule="auto" w:after="60" w:before="0"/>
            </w:pPr>
            <w:r>
              <w:rPr>
                <w:rFonts w:ascii="Times New Roman" w:hAnsi="Times New Roman" w:eastAsia="Times New Roman"/>
                <w:sz w:val="20"/>
              </w:rPr>
              <w:t>Generate report</w:t>
            </w:r>
          </w:p>
        </w:tc>
        <w:tc>
          <w:tcPr>
            <w:tcW w:w="5184" w:type="dxa"/>
          </w:tcPr>
          <w:p w14:paraId="21D87B38" w14:textId="77777777" w:rsidR="006A2F56" w:rsidRDefault="00000000">
            <w:pPr>
              <w:spacing w:line="360" w:lineRule="auto" w:after="60" w:before="0"/>
            </w:pPr>
            <w:r>
              <w:rPr>
                <w:rFonts w:ascii="Times New Roman" w:hAnsi="Times New Roman" w:eastAsia="Times New Roman"/>
                <w:sz w:val="20"/>
              </w:rPr>
              <w:t>Open /reports to generate or view common-space usage reports.</w:t>
            </w:r>
          </w:p>
        </w:tc>
      </w:tr>
    </w:tbl>
    <w:p w14:paraId="426565A7" w14:textId="77777777" w:rsidR="006A2F56" w:rsidRDefault="00000000">
      <w:pPr>
        <w:pStyle w:val="1"/>
        <w:keepNext/>
        <w:spacing w:line="360" w:lineRule="auto" w:after="60" w:before="0"/>
      </w:pPr>
      <w:r/>
      <w:r>
        <w:rPr>
          <w:b/>
          <w:color w:val="1F4E79"/>
          <w:sz w:val="28"/>
        </w:rPr>
        <w:t>4. Screenshot Evidence Fields</w:t>
      </w:r>
    </w:p>
    <w:p w14:paraId="488760AF" w14:textId="565F0BD2" w:rsidR="006A2F56" w:rsidRDefault="00000000">
      <w:pPr>
        <w:pStyle w:val="a0"/>
        <w:spacing w:line="360" w:lineRule="auto" w:after="60" w:before="0"/>
      </w:pPr>
      <w:r>
        <w:rPr>
          <w:rFonts w:ascii="Times New Roman" w:hAnsi="Times New Roman" w:eastAsia="Times New Roman"/>
          <w:sz w:val="20"/>
        </w:rPr>
        <w:t>final runtime screenshot of Dashboard</w:t>
      </w:r>
    </w:p>
    <w:p w14:paraId="0C94E807" w14:textId="275965CD" w:rsidR="006A2F56" w:rsidRDefault="00961558">
      <w:pPr>
        <w:spacing w:line="360" w:lineRule="auto" w:after="60" w:before="0"/>
      </w:pPr>
      <w:r>
        <w:rPr>
          <w:rFonts w:ascii="Times New Roman" w:hAnsi="Times New Roman" w:eastAsia="Times New Roman"/>
          <w:noProof/>
          <w:sz w:val="20"/>
        </w:rPr>
        <w:lastRenderedPageBreak/>
        <w:drawing>
          <wp:inline distT="0" distB="0" distL="0" distR="0" wp14:anchorId="024768B7" wp14:editId="389AD7E6">
            <wp:extent cx="6574790" cy="3573145"/>
            <wp:effectExtent l="0" t="0" r="0" b="8255"/>
            <wp:docPr id="149466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4790" cy="3573145"/>
                    </a:xfrm>
                    <a:prstGeom prst="rect">
                      <a:avLst/>
                    </a:prstGeom>
                    <a:noFill/>
                    <a:ln>
                      <a:noFill/>
                    </a:ln>
                  </pic:spPr>
                </pic:pic>
              </a:graphicData>
            </a:graphic>
          </wp:inline>
        </w:drawing>
      </w:r>
    </w:p>
    <w:p w14:paraId="62C40DB8" w14:textId="7413B911" w:rsidR="006A2F56" w:rsidRDefault="00000000">
      <w:pPr>
        <w:pStyle w:val="a0"/>
        <w:spacing w:line="360" w:lineRule="auto" w:after="60" w:before="0"/>
      </w:pPr>
      <w:r>
        <w:rPr>
          <w:rFonts w:ascii="Times New Roman" w:hAnsi="Times New Roman" w:eastAsia="Times New Roman"/>
          <w:sz w:val="20"/>
        </w:rPr>
        <w:t>final runtime screenshot of Video upload page</w:t>
      </w:r>
    </w:p>
    <w:p w14:paraId="164F2DDA" w14:textId="7EB14665" w:rsidR="006A2F56" w:rsidRDefault="00E76686">
      <w:pPr>
        <w:spacing w:line="360" w:lineRule="auto" w:after="60" w:before="0"/>
      </w:pPr>
      <w:r w:rsidRPr="00E76686">
        <w:rPr>
          <w:rFonts w:ascii="Times New Roman" w:hAnsi="Times New Roman" w:eastAsia="Times New Roman"/>
          <w:sz w:val="20"/>
        </w:rPr>
        <w:drawing>
          <wp:inline distT="0" distB="0" distL="0" distR="0" wp14:anchorId="71E67E02" wp14:editId="08219029">
            <wp:extent cx="6583680" cy="3460115"/>
            <wp:effectExtent l="0" t="0" r="7620" b="6985"/>
            <wp:docPr id="718120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20012" name=""/>
                    <pic:cNvPicPr/>
                  </pic:nvPicPr>
                  <pic:blipFill>
                    <a:blip r:embed="rId9"/>
                    <a:stretch>
                      <a:fillRect/>
                    </a:stretch>
                  </pic:blipFill>
                  <pic:spPr>
                    <a:xfrm>
                      <a:off x="0" y="0"/>
                      <a:ext cx="6583680" cy="3460115"/>
                    </a:xfrm>
                    <a:prstGeom prst="rect">
                      <a:avLst/>
                    </a:prstGeom>
                  </pic:spPr>
                </pic:pic>
              </a:graphicData>
            </a:graphic>
          </wp:inline>
        </w:drawing>
      </w:r>
    </w:p>
    <w:p w14:paraId="45576C5C" w14:textId="581D85A1" w:rsidR="006A2F56" w:rsidRDefault="00000000">
      <w:pPr>
        <w:pStyle w:val="a0"/>
        <w:spacing w:line="360" w:lineRule="auto" w:after="60" w:before="0"/>
      </w:pPr>
      <w:r>
        <w:rPr>
          <w:rFonts w:ascii="Times New Roman" w:hAnsi="Times New Roman" w:eastAsia="Times New Roman"/>
          <w:sz w:val="20"/>
        </w:rPr>
        <w:t>final runtime screenshot of Stream manager</w:t>
      </w:r>
    </w:p>
    <w:p w14:paraId="10444AD7" w14:textId="786ADE5B" w:rsidR="00053D90" w:rsidRPr="00053D90" w:rsidRDefault="00053D90">
      <w:pPr>
        <w:spacing w:line="360" w:lineRule="auto" w:after="60" w:before="0"/>
        <w:rPr>
          <w:rFonts w:eastAsia="宋体" w:hint="eastAsia"/>
          <w:lang w:eastAsia="zh-CN"/>
        </w:rPr>
      </w:pPr>
      <w:r>
        <w:rPr>
          <w:rFonts w:ascii="Times New Roman" w:hAnsi="Times New Roman" w:eastAsia="Times New Roman"/>
          <w:noProof/>
          <w:sz w:val="20"/>
        </w:rPr>
        <w:lastRenderedPageBreak/>
        <w:drawing>
          <wp:inline distT="0" distB="0" distL="0" distR="0" wp14:anchorId="55B2763B" wp14:editId="1C976E30">
            <wp:extent cx="6583680" cy="3579495"/>
            <wp:effectExtent l="0" t="0" r="7620" b="1905"/>
            <wp:docPr id="4764106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3680" cy="3579495"/>
                    </a:xfrm>
                    <a:prstGeom prst="rect">
                      <a:avLst/>
                    </a:prstGeom>
                    <a:noFill/>
                    <a:ln>
                      <a:noFill/>
                    </a:ln>
                  </pic:spPr>
                </pic:pic>
              </a:graphicData>
            </a:graphic>
          </wp:inline>
        </w:drawing>
      </w:r>
    </w:p>
    <w:p w14:paraId="6057AC99" w14:textId="2B078963" w:rsidR="006A2F56" w:rsidRDefault="00000000">
      <w:pPr>
        <w:pStyle w:val="a0"/>
        <w:spacing w:line="360" w:lineRule="auto" w:after="60" w:before="0"/>
      </w:pPr>
      <w:r>
        <w:rPr>
          <w:rFonts w:ascii="Times New Roman" w:hAnsi="Times New Roman" w:eastAsia="Times New Roman"/>
          <w:sz w:val="20"/>
        </w:rPr>
        <w:t>final runtime screenshot of Event list</w:t>
      </w:r>
      <w:r w:rsidR="00053D90">
        <w:rPr>
          <w:rFonts w:eastAsia="Times New Roman" w:hint="eastAsia" w:ascii="Times New Roman" w:hAnsi="Times New Roman"/>
          <w:sz w:val="20"/>
          <w:lang w:eastAsia="zh-CN"/>
        </w:rPr>
        <w:t xml:space="preserve"> </w:t>
      </w:r>
      <w:r w:rsidR="00053D90">
        <w:rPr>
          <w:rFonts w:eastAsia="Times New Roman" w:ascii="Times New Roman" w:hAnsi="Times New Roman"/>
          <w:sz w:val="20"/>
          <w:lang w:eastAsia="zh-CN"/>
        </w:rPr>
        <w:t>with</w:t>
      </w:r>
      <w:r w:rsidR="00053D90">
        <w:rPr>
          <w:rFonts w:eastAsia="Times New Roman" w:hint="eastAsia" w:ascii="Times New Roman" w:hAnsi="Times New Roman"/>
          <w:sz w:val="20"/>
          <w:lang w:eastAsia="zh-CN"/>
        </w:rPr>
        <w:t xml:space="preserve"> </w:t>
      </w:r>
      <w:r w:rsidR="00053D90">
        <w:rPr>
          <w:rFonts w:ascii="Times New Roman" w:hAnsi="Times New Roman" w:eastAsia="Times New Roman"/>
          <w:sz w:val="20"/>
        </w:rPr>
        <w:t>evidence image</w:t>
      </w:r>
    </w:p>
    <w:p w14:paraId="57E957B3" w14:textId="4CFF2D7D" w:rsidR="006A2F56" w:rsidRPr="00053D90" w:rsidRDefault="00053D90">
      <w:pPr>
        <w:spacing w:line="360" w:lineRule="auto" w:after="60" w:before="0"/>
        <w:rPr>
          <w:rFonts w:eastAsia="宋体" w:hint="eastAsia"/>
          <w:lang w:eastAsia="zh-CN"/>
        </w:rPr>
      </w:pPr>
      <w:r>
        <w:rPr>
          <w:rFonts w:ascii="Times New Roman" w:hAnsi="Times New Roman" w:eastAsia="Times New Roman"/>
          <w:noProof/>
          <w:sz w:val="20"/>
        </w:rPr>
        <w:drawing>
          <wp:inline distT="0" distB="0" distL="0" distR="0" wp14:anchorId="60CBE0DC" wp14:editId="38237D99">
            <wp:extent cx="6583680" cy="3579495"/>
            <wp:effectExtent l="0" t="0" r="7620" b="1905"/>
            <wp:docPr id="15121053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3680" cy="3579495"/>
                    </a:xfrm>
                    <a:prstGeom prst="rect">
                      <a:avLst/>
                    </a:prstGeom>
                    <a:noFill/>
                    <a:ln>
                      <a:noFill/>
                    </a:ln>
                  </pic:spPr>
                </pic:pic>
              </a:graphicData>
            </a:graphic>
          </wp:inline>
        </w:drawing>
      </w:r>
    </w:p>
    <w:p w14:paraId="0FA9EBAB" w14:textId="09B50A09" w:rsidR="006A2F56" w:rsidRDefault="00000000">
      <w:pPr>
        <w:pStyle w:val="a0"/>
        <w:spacing w:line="360" w:lineRule="auto" w:after="60" w:before="0"/>
      </w:pPr>
      <w:r>
        <w:rPr>
          <w:rFonts w:ascii="Times New Roman" w:hAnsi="Times New Roman" w:eastAsia="Times New Roman"/>
          <w:sz w:val="20"/>
        </w:rPr>
        <w:t>final runtime screenshot of Globe view</w:t>
      </w:r>
    </w:p>
    <w:p w14:paraId="04C2C8EE" w14:textId="168ECA35" w:rsidR="006A2F56" w:rsidRDefault="00053D90">
      <w:pPr>
        <w:spacing w:line="360" w:lineRule="auto" w:after="60" w:before="0"/>
      </w:pPr>
      <w:r>
        <w:rPr>
          <w:rFonts w:ascii="Times New Roman" w:hAnsi="Times New Roman" w:eastAsia="Times New Roman"/>
          <w:noProof/>
          <w:sz w:val="20"/>
        </w:rPr>
        <w:lastRenderedPageBreak/>
        <w:drawing>
          <wp:inline distT="0" distB="0" distL="0" distR="0" wp14:anchorId="381A8239" wp14:editId="2CD915A9">
            <wp:extent cx="6583680" cy="3579495"/>
            <wp:effectExtent l="0" t="0" r="7620" b="1905"/>
            <wp:docPr id="20229692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3680" cy="3579495"/>
                    </a:xfrm>
                    <a:prstGeom prst="rect">
                      <a:avLst/>
                    </a:prstGeom>
                    <a:noFill/>
                    <a:ln>
                      <a:noFill/>
                    </a:ln>
                  </pic:spPr>
                </pic:pic>
              </a:graphicData>
            </a:graphic>
          </wp:inline>
        </w:drawing>
      </w:r>
    </w:p>
    <w:p w14:paraId="6BABFF6B" w14:textId="54CDEAC9" w:rsidR="006A2F56" w:rsidRPr="001A52AC" w:rsidRDefault="00000000">
      <w:pPr>
        <w:pStyle w:val="a0"/>
        <w:spacing w:line="360" w:lineRule="auto" w:after="60" w:before="0"/>
      </w:pPr>
      <w:r>
        <w:rPr>
          <w:rFonts w:ascii="Times New Roman" w:hAnsi="Times New Roman" w:eastAsia="Times New Roman"/>
          <w:sz w:val="20"/>
        </w:rPr>
        <w:t>final runtime screenshot of Common-space report page</w:t>
      </w:r>
    </w:p>
    <w:p w14:paraId="269D4BB8" w14:textId="0786CA79" w:rsidR="001A52AC" w:rsidRPr="001A52AC" w:rsidRDefault="001A52AC" w:rsidP="001A52AC">
      <w:pPr>
        <w:pStyle w:val="a0"/>
        <w:numPr>
          <w:ilvl w:val="0"/>
          <w:numId w:val="0"/>
        </w:numPr>
        <w:spacing w:line="360" w:lineRule="auto" w:after="60" w:before="0"/>
        <w:ind w:left="360" w:hanging="360"/>
        <w:rPr>
          <w:rFonts w:eastAsia="宋体" w:hint="eastAsia"/>
          <w:lang w:eastAsia="zh-CN"/>
        </w:rPr>
      </w:pPr>
      <w:r>
        <w:rPr>
          <w:rFonts w:eastAsia="Times New Roman" w:hint="eastAsia" w:ascii="Times New Roman" w:hAnsi="Times New Roman"/>
          <w:sz w:val="20"/>
          <w:lang w:eastAsia="zh-CN"/>
        </w:rPr>
        <w:t>Based-on rules:</w:t>
      </w:r>
    </w:p>
    <w:p w14:paraId="3C53C998" w14:textId="365123E9" w:rsidR="00053D90" w:rsidRDefault="001A52AC" w:rsidP="00053D90">
      <w:pPr>
        <w:pStyle w:val="a0"/>
        <w:numPr>
          <w:ilvl w:val="0"/>
          <w:numId w:val="0"/>
        </w:numPr>
        <w:spacing w:line="360" w:lineRule="auto" w:after="60" w:before="0"/>
        <w:ind w:left="360" w:hanging="360"/>
        <w:rPr>
          <w:rFonts w:eastAsia="宋体"/>
          <w:lang w:eastAsia="zh-CN"/>
        </w:rPr>
      </w:pPr>
      <w:r>
        <w:rPr>
          <w:rFonts w:ascii="Times New Roman" w:hAnsi="Times New Roman" w:eastAsia="Times New Roman"/>
          <w:noProof/>
          <w:sz w:val="20"/>
        </w:rPr>
        <w:drawing>
          <wp:inline distT="0" distB="0" distL="0" distR="0" wp14:anchorId="0DD83DD8" wp14:editId="7D7B2085">
            <wp:extent cx="6583680" cy="3579495"/>
            <wp:effectExtent l="0" t="0" r="7620" b="1905"/>
            <wp:docPr id="13694323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3680" cy="3579495"/>
                    </a:xfrm>
                    <a:prstGeom prst="rect">
                      <a:avLst/>
                    </a:prstGeom>
                    <a:noFill/>
                    <a:ln>
                      <a:noFill/>
                    </a:ln>
                  </pic:spPr>
                </pic:pic>
              </a:graphicData>
            </a:graphic>
          </wp:inline>
        </w:drawing>
      </w:r>
    </w:p>
    <w:p w14:paraId="5D50462E" w14:textId="54B0E34C" w:rsidR="001A52AC" w:rsidRDefault="001A52AC" w:rsidP="001A52AC">
      <w:pPr>
        <w:pStyle w:val="a0"/>
        <w:numPr>
          <w:ilvl w:val="0"/>
          <w:numId w:val="0"/>
        </w:numPr>
        <w:spacing w:line="360" w:lineRule="auto" w:after="60" w:before="0"/>
        <w:ind w:left="360" w:hanging="360"/>
        <w:rPr>
          <w:rFonts w:eastAsia="宋体" w:hint="eastAsia"/>
          <w:lang w:eastAsia="zh-CN"/>
        </w:rPr>
      </w:pPr>
      <w:r>
        <w:rPr>
          <w:rFonts w:eastAsia="Times New Roman" w:hint="eastAsia" w:ascii="Times New Roman" w:hAnsi="Times New Roman"/>
          <w:sz w:val="20"/>
          <w:lang w:eastAsia="zh-CN"/>
        </w:rPr>
        <w:t xml:space="preserve">Based-on </w:t>
      </w:r>
      <w:r>
        <w:rPr>
          <w:rFonts w:eastAsia="Times New Roman" w:hint="eastAsia" w:ascii="Times New Roman" w:hAnsi="Times New Roman"/>
          <w:sz w:val="20"/>
          <w:lang w:eastAsia="zh-CN"/>
        </w:rPr>
        <w:t>LLM:</w:t>
      </w:r>
    </w:p>
    <w:p w14:paraId="225661F7" w14:textId="4D4F011A" w:rsidR="001A52AC" w:rsidRPr="001A52AC" w:rsidRDefault="001A52AC" w:rsidP="00053D90">
      <w:pPr>
        <w:pStyle w:val="a0"/>
        <w:numPr>
          <w:ilvl w:val="0"/>
          <w:numId w:val="0"/>
        </w:numPr>
        <w:spacing w:line="360" w:lineRule="auto" w:after="60" w:before="0"/>
        <w:ind w:left="360" w:hanging="360"/>
        <w:rPr>
          <w:rFonts w:eastAsia="宋体" w:hint="eastAsia"/>
          <w:lang w:eastAsia="zh-CN"/>
        </w:rPr>
      </w:pPr>
      <w:r>
        <w:rPr>
          <w:rFonts w:ascii="Times New Roman" w:hAnsi="Times New Roman" w:eastAsia="Times New Roman"/>
          <w:noProof/>
          <w:sz w:val="20"/>
        </w:rPr>
        <w:lastRenderedPageBreak/>
        <w:drawing>
          <wp:inline distT="0" distB="0" distL="0" distR="0" wp14:anchorId="41AA82AA" wp14:editId="54494527">
            <wp:extent cx="6583680" cy="3579495"/>
            <wp:effectExtent l="0" t="0" r="7620" b="1905"/>
            <wp:docPr id="9824748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3579495"/>
                    </a:xfrm>
                    <a:prstGeom prst="rect">
                      <a:avLst/>
                    </a:prstGeom>
                    <a:noFill/>
                    <a:ln>
                      <a:noFill/>
                    </a:ln>
                  </pic:spPr>
                </pic:pic>
              </a:graphicData>
            </a:graphic>
          </wp:inline>
        </w:drawing>
      </w:r>
    </w:p>
    <w:p w14:paraId="40729D03" w14:textId="77777777" w:rsidR="006A2F56" w:rsidRDefault="00000000">
      <w:pPr>
        <w:pStyle w:val="1"/>
        <w:keepNext/>
        <w:pageBreakBefore/>
        <w:spacing w:line="360" w:lineRule="auto" w:after="60" w:before="0"/>
      </w:pPr>
      <w:r/>
      <w:r>
        <w:rPr>
          <w:b/>
          <w:color w:val="1F4E79"/>
          <w:sz w:val="28"/>
        </w:rPr>
        <w:t>5. Troubleshooting for Users</w:t>
      </w:r>
    </w:p>
    <w:tbl>
      <w:tblPr>
        <w:tblStyle w:val="aff1"/>
        <w:tblW w:w="0" w:type="auto"/>
        <w:jc w:val="center"/>
        <w:tblLook w:val="04A0" w:firstRow="1" w:lastRow="0" w:firstColumn="1" w:lastColumn="0" w:noHBand="0" w:noVBand="1"/>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Pr>
      <w:tblGrid>
        <w:gridCol w:w="5184"/>
        <w:gridCol w:w="5184"/>
      </w:tblGrid>
      <w:tr w:rsidR="006A2F56" w14:paraId="2C244AFF" w14:textId="77777777">
        <w:trPr>
          <w:jc w:val="center"/>
        </w:trPr>
        <w:tc>
          <w:tcPr>
            <w:tcW w:w="5184" w:type="dxa"/>
            <w:shd w:val="clear" w:color="auto" w:fill="2F5597"/>
            <w:vAlign w:val="top"/>
          </w:tcPr>
          <w:p w14:paraId="07FE60B9" w14:textId="77777777" w:rsidR="006A2F56" w:rsidRDefault="00000000">
            <w:pPr>
              <w:spacing w:line="360" w:lineRule="auto" w:after="40" w:before="0"/>
            </w:pPr>
            <w:r>
              <w:rPr>
                <w:rFonts w:ascii="Times New Roman" w:hAnsi="Times New Roman" w:eastAsia="Times New Roman"/>
                <w:b/>
                <w:color w:val="FFFFFF"/>
                <w:sz w:val="18"/>
              </w:rPr>
              <w:t>Problem</w:t>
            </w:r>
          </w:p>
        </w:tc>
        <w:tc>
          <w:tcPr>
            <w:tcW w:w="5184" w:type="dxa"/>
            <w:shd w:val="clear" w:color="auto" w:fill="2F5597"/>
            <w:vAlign w:val="top"/>
          </w:tcPr>
          <w:p w14:paraId="44D14A83" w14:textId="77777777" w:rsidR="006A2F56" w:rsidRDefault="00000000">
            <w:pPr>
              <w:spacing w:line="360" w:lineRule="auto" w:after="40" w:before="0"/>
            </w:pPr>
            <w:r>
              <w:rPr>
                <w:rFonts w:ascii="Times New Roman" w:hAnsi="Times New Roman" w:eastAsia="Times New Roman"/>
                <w:b/>
                <w:color w:val="FFFFFF"/>
                <w:sz w:val="18"/>
              </w:rPr>
              <w:t>Likely Action</w:t>
            </w:r>
          </w:p>
        </w:tc>
      </w:tr>
      <w:tr w:rsidR="006A2F56" w14:paraId="1A35ECDF" w14:textId="77777777">
        <w:trPr>
          <w:jc w:val="center"/>
        </w:trPr>
        <w:tc>
          <w:tcPr>
            <w:tcW w:w="5184" w:type="dxa"/>
            <w:vAlign w:val="top"/>
          </w:tcPr>
          <w:p w14:paraId="075DF673" w14:textId="77777777" w:rsidR="006A2F56" w:rsidRDefault="00000000">
            <w:pPr>
              <w:spacing w:line="360" w:lineRule="auto" w:after="40" w:before="0"/>
            </w:pPr>
            <w:r>
              <w:rPr>
                <w:rFonts w:ascii="Times New Roman" w:hAnsi="Times New Roman" w:eastAsia="Times New Roman"/>
                <w:sz w:val="18"/>
              </w:rPr>
              <w:t>No events appear</w:t>
            </w:r>
          </w:p>
        </w:tc>
        <w:tc>
          <w:tcPr>
            <w:tcW w:w="5184" w:type="dxa"/>
            <w:vAlign w:val="top"/>
          </w:tcPr>
          <w:p w14:paraId="3AC45D23" w14:textId="77777777" w:rsidR="006A2F56" w:rsidRDefault="00000000">
            <w:pPr>
              <w:spacing w:line="360" w:lineRule="auto" w:after="40" w:before="0"/>
            </w:pPr>
            <w:r>
              <w:rPr>
                <w:rFonts w:ascii="Times New Roman" w:hAnsi="Times New Roman" w:eastAsia="Times New Roman"/>
                <w:sz w:val="18"/>
              </w:rPr>
              <w:t>Check whether backend, MongoDB, MinIO and video stream are running.</w:t>
            </w:r>
          </w:p>
        </w:tc>
      </w:tr>
      <w:tr w:rsidR="006A2F56" w14:paraId="737EE1FD" w14:textId="77777777">
        <w:trPr>
          <w:jc w:val="center"/>
        </w:trPr>
        <w:tc>
          <w:tcPr>
            <w:tcW w:w="5184" w:type="dxa"/>
            <w:vAlign w:val="top"/>
            <w:shd w:fill="F3F6FA"/>
          </w:tcPr>
          <w:p w14:paraId="21CCE2BB" w14:textId="77777777" w:rsidR="006A2F56" w:rsidRDefault="00000000">
            <w:pPr>
              <w:spacing w:line="360" w:lineRule="auto" w:after="40" w:before="0"/>
            </w:pPr>
            <w:r>
              <w:rPr>
                <w:rFonts w:ascii="Times New Roman" w:hAnsi="Times New Roman" w:eastAsia="Times New Roman"/>
                <w:sz w:val="18"/>
              </w:rPr>
              <w:t>No evidence image loads</w:t>
            </w:r>
          </w:p>
        </w:tc>
        <w:tc>
          <w:tcPr>
            <w:tcW w:w="5184" w:type="dxa"/>
            <w:vAlign w:val="top"/>
            <w:shd w:fill="F3F6FA"/>
          </w:tcPr>
          <w:p w14:paraId="4C22F0DB" w14:textId="77777777" w:rsidR="006A2F56" w:rsidRDefault="00000000">
            <w:pPr>
              <w:spacing w:line="360" w:lineRule="auto" w:after="40" w:before="0"/>
            </w:pPr>
            <w:r>
              <w:rPr>
                <w:rFonts w:ascii="Times New Roman" w:hAnsi="Times New Roman" w:eastAsia="Times New Roman"/>
                <w:sz w:val="18"/>
              </w:rPr>
              <w:t>Check MinIO bucket, public/read policy and image_url in MongoDB.</w:t>
            </w:r>
          </w:p>
        </w:tc>
      </w:tr>
      <w:tr w:rsidR="006A2F56" w14:paraId="7262862D" w14:textId="77777777">
        <w:trPr>
          <w:jc w:val="center"/>
        </w:trPr>
        <w:tc>
          <w:tcPr>
            <w:tcW w:w="5184" w:type="dxa"/>
            <w:vAlign w:val="top"/>
          </w:tcPr>
          <w:p w14:paraId="65B09E58" w14:textId="77777777" w:rsidR="006A2F56" w:rsidRDefault="00000000">
            <w:pPr>
              <w:spacing w:line="360" w:lineRule="auto" w:after="40" w:before="0"/>
            </w:pPr>
            <w:r>
              <w:rPr>
                <w:rFonts w:ascii="Times New Roman" w:hAnsi="Times New Roman" w:eastAsia="Times New Roman"/>
                <w:sz w:val="18"/>
              </w:rPr>
              <w:t>Stream preview unavailable</w:t>
            </w:r>
          </w:p>
        </w:tc>
        <w:tc>
          <w:tcPr>
            <w:tcW w:w="5184" w:type="dxa"/>
            <w:vAlign w:val="top"/>
          </w:tcPr>
          <w:p w14:paraId="43B7847D" w14:textId="77777777" w:rsidR="006A2F56" w:rsidRDefault="00000000">
            <w:pPr>
              <w:spacing w:line="360" w:lineRule="auto" w:after="40" w:before="0"/>
            </w:pPr>
            <w:r>
              <w:rPr>
                <w:rFonts w:ascii="Times New Roman" w:hAnsi="Times New Roman" w:eastAsia="Times New Roman"/>
                <w:sz w:val="18"/>
              </w:rPr>
              <w:t>Check RTSP URL, camera accessibility and backend logs.</w:t>
            </w:r>
          </w:p>
        </w:tc>
      </w:tr>
      <w:tr w:rsidR="006A2F56" w14:paraId="25DDF169" w14:textId="77777777">
        <w:trPr>
          <w:jc w:val="center"/>
        </w:trPr>
        <w:tc>
          <w:tcPr>
            <w:tcW w:w="5184" w:type="dxa"/>
            <w:vAlign w:val="top"/>
            <w:shd w:fill="F3F6FA"/>
          </w:tcPr>
          <w:p w14:paraId="48C25339" w14:textId="77777777" w:rsidR="006A2F56" w:rsidRDefault="00000000">
            <w:pPr>
              <w:spacing w:line="360" w:lineRule="auto" w:after="40" w:before="0"/>
            </w:pPr>
            <w:r>
              <w:rPr>
                <w:rFonts w:ascii="Times New Roman" w:hAnsi="Times New Roman" w:eastAsia="Times New Roman"/>
                <w:sz w:val="18"/>
              </w:rPr>
              <w:t>Report generation fails</w:t>
            </w:r>
          </w:p>
        </w:tc>
        <w:tc>
          <w:tcPr>
            <w:tcW w:w="5184" w:type="dxa"/>
            <w:vAlign w:val="top"/>
            <w:shd w:fill="F3F6FA"/>
          </w:tcPr>
          <w:p w14:paraId="61FF9AAE" w14:textId="77777777" w:rsidR="006A2F56" w:rsidRDefault="00000000">
            <w:pPr>
              <w:spacing w:line="360" w:lineRule="auto" w:after="40" w:before="0"/>
            </w:pPr>
            <w:r>
              <w:rPr>
                <w:rFonts w:ascii="Times New Roman" w:hAnsi="Times New Roman" w:eastAsia="Times New Roman"/>
                <w:sz w:val="18"/>
              </w:rPr>
              <w:t>Check Qwen/LLM configuration and common-space events in database.</w:t>
            </w:r>
          </w:p>
        </w:tc>
      </w:tr>
      <w:tr>
        <w:tc>
          <w:tcPr>
            <w:tcW w:type="dxa" w:w="5184"/>
            <w:vAlign w:val="top"/>
          </w:tcPr>
          <w:p>
            <w:pPr>
              <w:spacing w:after="40"/>
            </w:pPr>
            <w:r>
              <w:rPr>
                <w:sz w:val="18"/>
              </w:rPr>
            </w:r>
            <w:r>
              <w:rPr>
                <w:b w:val="0"/>
                <w:sz w:val="18"/>
              </w:rPr>
              <w:t>Docker command fails or MongoDB/MinIO stay disconnected</w:t>
            </w:r>
          </w:p>
        </w:tc>
        <w:tc>
          <w:tcPr>
            <w:tcW w:type="dxa" w:w="5184"/>
            <w:vAlign w:val="top"/>
          </w:tcPr>
          <w:p>
            <w:pPr>
              <w:spacing w:after="40"/>
            </w:pPr>
            <w:r>
              <w:rPr>
                <w:sz w:val="18"/>
              </w:rPr>
            </w:r>
            <w:r>
              <w:rPr>
                <w:b w:val="0"/>
                <w:sz w:val="18"/>
              </w:rPr>
              <w:t>Cause: Docker Desktop is not running, the Docker engine is still starting, or ports 27017/9000/9001 are occupied.</w:t>
              <w:br/>
              <w:t>Action: Start Docker Desktop, wait until it reports that the engine is running, then execute docker compose up -d and docker compose ps from the project root.</w:t>
            </w:r>
          </w:p>
        </w:tc>
      </w:tr>
      <w:tr>
        <w:tc>
          <w:tcPr>
            <w:tcW w:type="dxa" w:w="5184"/>
            <w:vAlign w:val="top"/>
            <w:shd w:fill="F3F6FA"/>
          </w:tcPr>
          <w:p>
            <w:pPr>
              <w:spacing w:after="40"/>
            </w:pPr>
            <w:r>
              <w:rPr>
                <w:sz w:val="18"/>
              </w:rPr>
            </w:r>
            <w:r>
              <w:rPr>
                <w:b w:val="0"/>
                <w:sz w:val="18"/>
              </w:rPr>
              <w:t>python or pip is not recognized</w:t>
            </w:r>
          </w:p>
        </w:tc>
        <w:tc>
          <w:tcPr>
            <w:tcW w:type="dxa" w:w="5184"/>
            <w:vAlign w:val="top"/>
            <w:shd w:fill="F3F6FA"/>
          </w:tcPr>
          <w:p>
            <w:pPr>
              <w:spacing w:after="40"/>
            </w:pPr>
            <w:r>
              <w:rPr>
                <w:sz w:val="18"/>
              </w:rPr>
            </w:r>
            <w:r>
              <w:rPr>
                <w:b w:val="0"/>
                <w:sz w:val="18"/>
              </w:rPr>
              <w:t>Cause: Python was installed without PATH registration, or the terminal was opened before installation completed.</w:t>
              <w:br/>
              <w:t>Action: Reopen the terminal, run python --version and pip --version, or reinstall Python from python.org and select Add python.exe to PATH.</w:t>
            </w:r>
          </w:p>
        </w:tc>
      </w:tr>
      <w:tr>
        <w:tc>
          <w:tcPr>
            <w:tcW w:type="dxa" w:w="5184"/>
            <w:vAlign w:val="top"/>
          </w:tcPr>
          <w:p>
            <w:pPr>
              <w:spacing w:after="40"/>
            </w:pPr>
            <w:r>
              <w:rPr>
                <w:sz w:val="18"/>
              </w:rPr>
            </w:r>
            <w:r>
              <w:rPr>
                <w:b w:val="0"/>
                <w:sz w:val="18"/>
              </w:rPr>
              <w:t>Backend starts but /api/health returns degraded</w:t>
            </w:r>
          </w:p>
        </w:tc>
        <w:tc>
          <w:tcPr>
            <w:tcW w:type="dxa" w:w="5184"/>
            <w:vAlign w:val="top"/>
          </w:tcPr>
          <w:p>
            <w:pPr>
              <w:spacing w:after="40"/>
            </w:pPr>
            <w:r>
              <w:rPr>
                <w:sz w:val="18"/>
              </w:rPr>
            </w:r>
            <w:r>
              <w:rPr>
                <w:b w:val="0"/>
                <w:sz w:val="18"/>
              </w:rPr>
              <w:t>Cause: The backend is reachable, but MongoDB or MinIO cannot be reached.</w:t>
              <w:br/>
              <w:t>Action: Confirm docker compose ps shows mongo and minio as running, then check MONGO_URI, MINIO_ENDPOINT, MINIO_ACCESS_KEY, and MINIO_SECRET_KEY in .env.</w:t>
            </w:r>
          </w:p>
        </w:tc>
      </w:tr>
      <w:tr>
        <w:tc>
          <w:tcPr>
            <w:tcW w:type="dxa" w:w="5184"/>
            <w:vAlign w:val="top"/>
            <w:shd w:fill="F3F6FA"/>
          </w:tcPr>
          <w:p>
            <w:pPr>
              <w:spacing w:after="40"/>
            </w:pPr>
            <w:r>
              <w:rPr>
                <w:sz w:val="18"/>
              </w:rPr>
            </w:r>
            <w:r>
              <w:rPr>
                <w:b w:val="0"/>
                <w:sz w:val="18"/>
              </w:rPr>
              <w:t>Qwen report generation or vision verification is unavailable</w:t>
            </w:r>
          </w:p>
        </w:tc>
        <w:tc>
          <w:tcPr>
            <w:tcW w:type="dxa" w:w="5184"/>
            <w:vAlign w:val="top"/>
            <w:shd w:fill="F3F6FA"/>
          </w:tcPr>
          <w:p>
            <w:pPr>
              <w:spacing w:after="40"/>
            </w:pPr>
            <w:r>
              <w:rPr>
                <w:sz w:val="18"/>
              </w:rPr>
            </w:r>
            <w:r>
              <w:rPr>
                <w:b w:val="0"/>
                <w:sz w:val="18"/>
              </w:rPr>
              <w:t>Cause: The relevant Qwen API key, endpoint, or model name is empty or incorrect.</w:t>
              <w:br/>
              <w:t>Action: Copy .env.example to .env, set QWEN_REPORT_API_KEY for reports and QWEN_VL_API_KEY if Qwen-VL verification is used, then restart the backend.</w:t>
            </w:r>
          </w:p>
        </w:tc>
      </w:tr>
      <w:tr>
        <w:tc>
          <w:tcPr>
            <w:tcW w:type="dxa" w:w="5184"/>
            <w:vAlign w:val="top"/>
          </w:tcPr>
          <w:p>
            <w:pPr>
              <w:spacing w:after="40"/>
            </w:pPr>
            <w:r>
              <w:rPr>
                <w:sz w:val="18"/>
              </w:rPr>
            </w:r>
            <w:r>
              <w:rPr>
                <w:b w:val="0"/>
                <w:sz w:val="18"/>
              </w:rPr>
              <w:t>Webhook receiver rejects HVAS events</w:t>
            </w:r>
          </w:p>
        </w:tc>
        <w:tc>
          <w:tcPr>
            <w:tcW w:type="dxa" w:w="5184"/>
            <w:vAlign w:val="top"/>
          </w:tcPr>
          <w:p>
            <w:pPr>
              <w:spacing w:after="40"/>
            </w:pPr>
            <w:r>
              <w:rPr>
                <w:sz w:val="18"/>
              </w:rPr>
            </w:r>
            <w:r>
              <w:rPr>
                <w:b w:val="0"/>
                <w:sz w:val="18"/>
              </w:rPr>
              <w:t>Cause: The HMAC secret configured in HVAS does not match the secret configured in the receiving system.</w:t>
              <w:br/>
              <w:t>Action: Set WEBHOOK_SECRET to a shared production value in .env and configure the same value in the receiver before registering webhooks.</w:t>
            </w:r>
          </w:p>
        </w:tc>
      </w:tr>
    </w:tbl>
    <w:p w14:paraId="4E8307B6" w14:textId="77777777" w:rsidR="00F913FC" w:rsidRDefault="00F913FC">
      <w:pPr>
        <w:spacing w:line="360" w:lineRule="auto" w:after="60" w:before="0"/>
      </w:pPr>
    </w:p>
    <w:sectPr w:rsidR="00F913FC" w:rsidSect="00034616">
      <w:headerReference w:type="default" r:id="rId15"/>
      <w:footerReference w:type="default" r:id="rId16"/>
      <w:headerReference w:type="first" r:id="rId19"/>
      <w:footerReference w:type="first" r:id="rId20"/>
      <w:headerReference w:type="even" r:id="rId21"/>
      <w:footerReference w:type="even" r:id="rId2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27A62" w14:textId="77777777" w:rsidR="00F913FC" w:rsidRDefault="00F913FC">
      <w:pPr>
        <w:spacing w:after="0" w:line="240" w:lineRule="auto"/>
      </w:pPr>
      <w:r>
        <w:separator/>
      </w:r>
    </w:p>
  </w:endnote>
  <w:endnote w:type="continuationSeparator" w:id="0">
    <w:p w14:paraId="7EA90829" w14:textId="77777777" w:rsidR="00F913FC" w:rsidRDefault="00F91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E688" w14:textId="77777777" w:rsidR="006A2F56" w:rsidRDefault="00000000">
    <w:pPr>
      <w:pStyle w:val="a7"/>
      <w:spacing w:line="240" w:lineRule="auto" w:after="60" w:before="0"/>
      <w:jc w:val="center"/>
    </w:pPr>
    <w:r>
      <w:rPr>
        <w:rFonts w:ascii="Times New Roman" w:hAnsi="Times New Roman" w:eastAsia="Times New Roman"/>
        <w:sz w:val="18"/>
      </w:rPr>
      <w:t>HVAS + MUBS Portfolio | User Operations and Handover Evidence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60" w:before="0"/>
    </w:pPr>
    <w:r>
      <w:rPr>
        <w:rFonts w:ascii="Times New Roman" w:hAnsi="Times New Roman" w:eastAsia="Times New Roman"/>
        <w:sz w:val="18"/>
      </w:rPr>
      <w:t>HVAS + MUBS Portfolio | User Operations and Handover Evidence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60" w:before="0"/>
    </w:pPr>
    <w:r>
      <w:rPr>
        <w:rFonts w:ascii="Times New Roman" w:hAnsi="Times New Roman" w:eastAsia="Times New Roman"/>
        <w:sz w:val="18"/>
      </w:rPr>
      <w:t>HVAS + MUBS Portfolio | User Operations and Handover Evidence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593FA" w14:textId="77777777" w:rsidR="00F913FC" w:rsidRDefault="00F913FC">
      <w:pPr>
        <w:spacing w:after="0" w:line="240" w:lineRule="auto"/>
      </w:pPr>
      <w:r>
        <w:separator/>
      </w:r>
    </w:p>
  </w:footnote>
  <w:footnote w:type="continuationSeparator" w:id="0">
    <w:p w14:paraId="6CCA5FCE" w14:textId="77777777" w:rsidR="00F913FC" w:rsidRDefault="00F91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F608" w14:textId="77777777" w:rsidR="006A2F56" w:rsidRDefault="00000000">
    <w:pPr>
      <w:pStyle w:val="a5"/>
      <w:spacing w:line="360" w:lineRule="auto" w:after="60" w:before="0"/>
      <w:jc w:val="right"/>
    </w:pPr>
    <w:r>
      <w:rPr>
        <w:rFonts w:ascii="Times New Roman" w:hAnsi="Times New Roman" w:eastAsia="Times New Roman"/>
        <w:sz w:val="20"/>
      </w:rPr>
      <w:t>HVAS + MUBS Portfolio | 04 Development and Quality Assurance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after="60" w:before="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after="60"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D02E1950"/>
    <w:lvl w:ilvl="0">
      <w:start w:val="1"/>
      <w:numFmt w:val="bullet"/>
      <w:pStyle w:val="a0"/>
      <w:lvlText w:val=""/>
      <w:lvlJc w:val="left"/>
      <w:pPr>
        <w:tabs>
          <w:tab w:val="num" w:pos="360"/>
        </w:tabs>
        <w:ind w:left="360" w:hanging="360"/>
      </w:pPr>
      <w:rPr>
        <w:rFonts w:ascii="Symbol" w:hAnsi="Symbol" w:hint="default"/>
      </w:rPr>
    </w:lvl>
  </w:abstractNum>
  <w:num w:numId="1" w16cid:durableId="362176845">
    <w:abstractNumId w:val="8"/>
  </w:num>
  <w:num w:numId="2" w16cid:durableId="1673410588">
    <w:abstractNumId w:val="6"/>
  </w:num>
  <w:num w:numId="3" w16cid:durableId="1212620542">
    <w:abstractNumId w:val="5"/>
  </w:num>
  <w:num w:numId="4" w16cid:durableId="721753396">
    <w:abstractNumId w:val="4"/>
  </w:num>
  <w:num w:numId="5" w16cid:durableId="920065733">
    <w:abstractNumId w:val="7"/>
  </w:num>
  <w:num w:numId="6" w16cid:durableId="592200866">
    <w:abstractNumId w:val="3"/>
  </w:num>
  <w:num w:numId="7" w16cid:durableId="1769931011">
    <w:abstractNumId w:val="2"/>
  </w:num>
  <w:num w:numId="8" w16cid:durableId="1214122397">
    <w:abstractNumId w:val="1"/>
  </w:num>
  <w:num w:numId="9" w16cid:durableId="1040739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D90"/>
    <w:rsid w:val="0006063C"/>
    <w:rsid w:val="0015074B"/>
    <w:rsid w:val="001A52AC"/>
    <w:rsid w:val="0029639D"/>
    <w:rsid w:val="00326F90"/>
    <w:rsid w:val="006A2F56"/>
    <w:rsid w:val="008D7882"/>
    <w:rsid w:val="00961558"/>
    <w:rsid w:val="00AA1D8D"/>
    <w:rsid w:val="00B47730"/>
    <w:rsid w:val="00C206FA"/>
    <w:rsid w:val="00CB0664"/>
    <w:rsid w:val="00E76686"/>
    <w:rsid w:val="00F91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34A915"/>
  <w14:defaultImageDpi w14:val="300"/>
  <w15:docId w15:val="{A41E7AEA-DBC4-444E-BA23-07163022B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80" w:line="360" w:lineRule="auto"/>
      <w:outlineLvl w:val="0"/>
    </w:pPr>
    <w:rPr>
      <w:rFonts w:asciiTheme="majorHAnsi" w:eastAsiaTheme="majorEastAsia" w:hAnsiTheme="majorHAnsi" w:cstheme="majorBidi" w:ascii="Times New Roman" w:hAnsi="Times New Roman" w:eastAsia="Times New Roman"/>
      <w:b/>
      <w:bCs/>
      <w:color w:val="1F4E79"/>
      <w:sz w:val="26"/>
      <w:szCs w:val="28"/>
    </w:rPr>
  </w:style>
  <w:style w:type="paragraph" w:styleId="21">
    <w:name w:val="heading 2"/>
    <w:basedOn w:val="a1"/>
    <w:next w:val="a1"/>
    <w:link w:val="22"/>
    <w:uiPriority w:val="9"/>
    <w:unhideWhenUsed/>
    <w:qFormat/>
    <w:rsid w:val="00FC693F"/>
    <w:pPr>
      <w:keepNext/>
      <w:keepLines/>
      <w:spacing w:before="200" w:after="80" w:line="360" w:lineRule="auto"/>
      <w:outlineLvl w:val="1"/>
    </w:pPr>
    <w:rPr>
      <w:rFonts w:asciiTheme="majorHAnsi" w:eastAsiaTheme="majorEastAsia" w:hAnsiTheme="majorHAnsi" w:cstheme="majorBidi" w:ascii="Times New Roman" w:hAnsi="Times New Roman" w:eastAsia="Times New Roman"/>
      <w:b/>
      <w:bCs/>
      <w:color w:val="2F5496"/>
      <w:sz w:val="24"/>
      <w:szCs w:val="26"/>
    </w:rPr>
  </w:style>
  <w:style w:type="paragraph" w:styleId="31">
    <w:name w:val="heading 3"/>
    <w:basedOn w:val="a1"/>
    <w:next w:val="a1"/>
    <w:link w:val="32"/>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80" w:line="360" w:lineRule="auto"/>
      <w:outlineLvl w:val="3"/>
    </w:pPr>
    <w:rPr>
      <w:rFonts w:asciiTheme="majorHAnsi" w:eastAsiaTheme="majorEastAsia" w:hAnsiTheme="majorHAnsi" w:cstheme="majorBidi" w:ascii="Times New Roman" w:hAnsi="Times New Roman" w:eastAsia="Times New Roman"/>
      <w:b/>
      <w:bCs/>
      <w:i/>
      <w:iCs/>
      <w:color w:val="4F81BD" w:themeColor="accent1"/>
      <w:sz w:val="2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80" w:line="36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line="360" w:lineRule="auto" w:after="80"/>
    </w:pPr>
    <w:rPr>
      <w:rFonts w:asciiTheme="majorHAnsi" w:eastAsiaTheme="majorEastAsia" w:hAnsiTheme="majorHAnsi" w:cstheme="majorBidi" w:ascii="Times New Roman" w:hAnsi="Times New Roman" w:eastAsia="Times New Roman"/>
      <w:b w:val="0"/>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315</Words>
  <Characters>1916</Characters>
  <Application>Microsoft Word</Application>
  <DocSecurity>0</DocSecurity>
  <Lines>68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Lingchang Zhang</dc:creator>
  <cp:keywords/>
  <dc:description/>
  <cp:lastModifiedBy>Lingchang Zhang</cp:lastModifiedBy>
  <cp:revision>6</cp:revision>
  <dcterms:created xsi:type="dcterms:W3CDTF">2013-12-23T23:15:00Z</dcterms:created>
  <dcterms:modified xsi:type="dcterms:W3CDTF">2026-05-05T04:06:00Z</dcterms:modified>
  <cp:category/>
</cp:coreProperties>
</file>