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7fc330fd574bc3" /><Relationship Type="http://schemas.openxmlformats.org/package/2006/relationships/metadata/core-properties" Target="/package/services/metadata/core-properties/bb414aa0c5b9414abfbe2f3d4fbe4162.psmdcp" Id="R6cca02917ab643a3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508000</wp:posOffset>
            </wp:positionV>
            <wp:extent cx="6350000" cy="508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48"/>
                          </w:rPr>
                          <w:t xml:space="preserve">Invoice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1117600</wp:posOffset>
            </wp:positionV>
            <wp:extent cx="6350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i/>
                            <w:color w:val="4B5563"/>
                            <w:sz w:val="28"/>
                          </w:rPr>
                          <w:t xml:space="preserve">Q2 Services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</w:pPr>
    </w:p>
    <w:tbl>
      <w:tblPr>
        <w:tblW w:w="100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960" w:type="dxa"/>
      </w:tblPr>
      <w:tblGrid>
        <w:gridCol w:w="3600"/>
        <w:gridCol w:w="3200"/>
        <w:gridCol w:w="3200"/>
      </w:tblGrid>
      <w:tr>
        <w:trPr>
          <w:tblHeader/>
        </w:trPr>
        <w:tc>
          <w:tcPr>
            <w:tcW w:w="36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Item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Hours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Design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$1,400.00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Development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38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$5,700.00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QA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$1,210.00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Total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63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$8,310.00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d674920e69b4a2c" /></Relationships>
</file>