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53d70c6b1df4a06" /><Relationship Type="http://schemas.openxmlformats.org/package/2006/relationships/metadata/core-properties" Target="/package/services/metadata/core-properties/707ec3af37ed4bd78cab2d6802bef21b.psmdcp" Id="R7ed3c19a3ace494c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4"/>
                          </w:rPr>
                          <w:t xml:space="preserve">Weekly Operations Report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1800"/>
        <w:gridCol w:w="2000"/>
        <w:gridCol w:w="2200"/>
        <w:gridCol w:w="2200"/>
        <w:gridCol w:w="2200"/>
      </w:tblGrid>
      <w:tr>
        <w:trPr>
          <w:tblHeader/>
        </w:trPr>
        <w:tc>
          <w:tcPr>
            <w:tcW w:w="1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0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Owner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Tickets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Resolved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SLA %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North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Liam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84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79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West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Maya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91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96.7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South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Noah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72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68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94.4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East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Emma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92.0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Central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Olivia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95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90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94.7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10312400</wp:posOffset>
            </wp:positionV>
            <wp:extent cx="6604000" cy="228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Internal use only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04b9b96f1f04d3a" /></Relationships>
</file>