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ng" ContentType="image/png"/>
  <Default Extension="psmdcp" ContentType="application/vnd.openxmlformats-package.core-properties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64c601e08ef54182" /><Relationship Type="http://schemas.openxmlformats.org/package/2006/relationships/metadata/core-properties" Target="/package/services/metadata/core-properties/0371d9a329324f7cbc08ec75d7311bce.psmdcp" Id="R4bc124bccfa74ad3" /></Relationships>
</file>

<file path=word/document.xml><?xml version="1.0" encoding="utf-8"?>
<w:document xmlns:w="http://schemas.openxmlformats.org/wordprocessingml/2006/main">
  <w:body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914400</wp:posOffset>
            </wp:positionH>
            <wp:positionV relativeFrom="page">
              <wp:posOffset>1117600</wp:posOffset>
            </wp:positionV>
            <wp:extent cx="4826000" cy="2794000"/>
            <wp:effectExtent l="0" t="0" r="0" b="0"/>
            <wp:wrapNone/>
            <wp:docPr id="1" name="hero-b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hero-bg"/>
                    <pic:cNvPicPr/>
                  </pic:nvPicPr>
                  <pic:blipFill>
                    <a:blip xmlns:r="http://schemas.openxmlformats.org/officeDocument/2006/relationships" r:embed="R534bd107d7044a9d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2794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1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1397000</wp:posOffset>
            </wp:positionV>
            <wp:extent cx="4318000" cy="609600"/>
            <wp:effectExtent l="0" t="0" r="0" b="0"/>
            <wp:wrapNone/>
            <wp:docPr id="2" name="TextBox2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318000" cy="60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jc w:val="left"/>
                        </w:pPr>
                        <w:r>
                          <w:rPr>
                            <w:b/>
                            <w:color w:val="0F172A"/>
                            <w:sz w:val="48"/>
                          </w:rPr>
                          <w:t xml:space="preserve">Quarterly Revenue Brief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r>
        <w:drawing>
          <wp:anchor xmlns:wp="http://schemas.openxmlformats.org/drawingml/2006/wordprocessingDrawing" distT="0" distB="0" distL="0" distR="0" simplePos="0" relativeHeight="2" behindDoc="0" locked="0" layoutInCell="1" allowOverlap="1">
            <wp:simplePos x="0" y="0"/>
            <wp:positionH relativeFrom="page">
              <wp:posOffset>1168400</wp:posOffset>
            </wp:positionH>
            <wp:positionV relativeFrom="page">
              <wp:posOffset>2108200</wp:posOffset>
            </wp:positionV>
            <wp:extent cx="4064000" cy="1270000"/>
            <wp:effectExtent l="0" t="0" r="0" b="0"/>
            <wp:wrapNone/>
            <wp:docPr id="3" name="TextBox3"/>
            <wp:cNvGraphicFramePr/>
            <a:graphic xmlns:a="http://schemas.openxmlformats.org/drawingml/2006/main">
              <a:graphicData uri="http://schemas.microsoft.com/office/word/2010/wordprocessingShape">
                <wps:wsp xmlns:wps="http://schemas.microsoft.com/office/word/2010/wordprocessingShape">
                  <wps:cNvSpPr txBox="1"/>
                  <wps:spPr>
                    <a:xfrm>
                      <a:off x="0" y="0"/>
                      <a:ext cx="4064000" cy="127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wps:spPr>
                  <wps:txbx>
                    <w:txbxContent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b/>
                            <w:color w:val="1F2937"/>
                            <w:sz w:val="24"/>
                          </w:rPr>
                          <w:t xml:space="preserve">Highlights: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Growth remains stable across all regions.</w:t>
                        </w:r>
                      </w:p>
                      <w:p>
                        <w:pPr>
                          <w:spacing w:line="324" w:lineRule="auto"/>
                          <w:jc w:val="left"/>
                        </w:pPr>
                        <w:r>
                          <w:rPr>
                            <w:color w:val="1D4ED8"/>
                            <w:sz w:val="24"/>
                          </w:rPr>
                          <w:t xml:space="preserve">North America +8.4%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 and </w:t>
                        </w:r>
                        <w:r>
                          <w:rPr>
                            <w:color w:val="047857"/>
                            <w:sz w:val="24"/>
                          </w:rPr>
                          <w:t xml:space="preserve">EMEA +6.1%</w:t>
                        </w:r>
                        <w:r>
                          <w:rPr>
                            <w:color w:val="1F2937"/>
                            <w:sz w:val="24"/>
                          </w:rPr>
                          <w:t xml:space="preserve">.</w:t>
                        </w:r>
                      </w:p>
                    </w:txbxContent>
                  </wps:txbx>
                  <wps:bodyPr lIns="0" tIns="0" rIns="0" bIns="0" anchor="t"/>
                </wps:wsp>
              </a:graphicData>
            </a:graphic>
          </wp:anchor>
        </w:drawing>
      </w:r>
    </w:p>
    <w:p>
      <w:pPr>
        <w:shd w:val="clear" w:color="auto" w:fill="FDE68A"/>
        <w:ind w:left="6600"/>
      </w:pPr>
      <w:r>
        <w:rPr>
          <w:b/>
        </w:rPr>
        <w:t>Action</w:t>
      </w:r>
    </w:p>
    <w:p>
      <w:pPr>
        <w:shd w:val="clear" w:color="auto" w:fill="FDE68A"/>
        <w:ind w:left="6600"/>
      </w:pPr>
      <w:r>
        <w:t>Prioritize retention campaigns in regions with slower momentum.</w:t>
      </w:r>
    </w:p>
    <w:tbl>
      <w:tblPr>
        <w:tblpPr w:leftFromText="0" w:rightFromText="0" w:topFromText="0" w:bottomFromText="0" w:vertAnchor="page" w:horzAnchor="page" w:tblpX="1440" w:tblpY="7200"/>
        <w:tblW w:w="9160" w:type="dxa"/>
        <w:tblLayout w:type="fixed"/>
        <w:tblBorders>
          <w:top w:val="single" w:color="334155" w:sz="1"/>
          <w:left w:val="single" w:color="334155" w:sz="1"/>
          <w:bottom w:val="single" w:color="334155" w:sz="1"/>
          <w:right w:val="single" w:color="334155" w:sz="1"/>
          <w:insideH w:val="single" w:color="334155" w:sz="1"/>
          <w:insideV w:val="single" w:color="334155" w:sz="1"/>
        </w:tblBorders>
      </w:tblPr>
      <w:tblGrid>
        <w:gridCol w:w="3800"/>
        <w:gridCol w:w="2800"/>
        <w:gridCol w:w="2560"/>
      </w:tblGrid>
      <w:tr>
        <w:trPr>
          <w:tblHeader/>
        </w:trPr>
        <w:tc>
          <w:tcPr>
            <w:tcW w:w="3800" w:type="dxa"/>
            <w:shd w:val="clear" w:color="auto" w:fill="F1F5F9"/>
            <w:vAlign w:val="top"/>
          </w:tcPr>
          <w:p>
            <w:pPr>
              <w:jc w:val="left"/>
            </w:pPr>
            <w:r>
              <w:rPr>
                <w:b/>
              </w:rPr>
              <w:t xml:space="preserve">Region</w:t>
            </w:r>
          </w:p>
        </w:tc>
        <w:tc>
          <w:tcPr>
            <w:tcW w:w="280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Q1</w:t>
            </w:r>
          </w:p>
        </w:tc>
        <w:tc>
          <w:tcPr>
            <w:tcW w:w="2560" w:type="dxa"/>
            <w:shd w:val="clear" w:color="auto" w:fill="F1F5F9"/>
            <w:vAlign w:val="top"/>
          </w:tcPr>
          <w:p>
            <w:pPr>
              <w:jc w:val="right"/>
            </w:pPr>
            <w:r>
              <w:rPr>
                <w:b/>
              </w:rPr>
              <w:t xml:space="preserve">Q2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North America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12.4M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13.4M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EMEA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9.2M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9.8M</w:t>
            </w:r>
          </w:p>
        </w:tc>
      </w:tr>
      <w:tr>
        <w:tc>
          <w:tcPr>
            <w:tcW w:w="3800" w:type="dxa"/>
            <w:vAlign w:val="top"/>
          </w:tcPr>
          <w:p>
            <w:pPr>
              <w:jc w:val="left"/>
            </w:pPr>
            <w:r>
              <w:t xml:space="preserve">APAC</w:t>
            </w:r>
          </w:p>
        </w:tc>
        <w:tc>
          <w:tcPr>
            <w:tcW w:w="2800" w:type="dxa"/>
            <w:vAlign w:val="top"/>
          </w:tcPr>
          <w:p>
            <w:pPr>
              <w:jc w:val="right"/>
            </w:pPr>
            <w:r>
              <w:t xml:space="preserve">8.5M</w:t>
            </w:r>
          </w:p>
        </w:tc>
        <w:tc>
          <w:tcPr>
            <w:tcW w:w="2560" w:type="dxa"/>
            <w:vAlign w:val="top"/>
          </w:tcPr>
          <w:p>
            <w:pPr>
              <w:jc w:val="right"/>
            </w:pPr>
            <w:r>
              <w:t xml:space="preserve">8.9M</w:t>
            </w:r>
          </w:p>
        </w:tc>
      </w:tr>
    </w:tbl>
    <w:p/>
    <w:sectPr>
      <w:pgSz w:w="11900" w:h="16840" w:orient="portrait"/>
      <w:pgMar w:top="0" w:right="0" w:bottom="0" w:left="0" w:header="0" w:footer="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qFormat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ef949fa5c94d4d14" /><Relationship Type="http://schemas.openxmlformats.org/officeDocument/2006/relationships/image" Target="/media/image.png" Id="R534bd107d7044a9d" /></Relationships>
</file>